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45" w:rsidRDefault="006D4E7B">
      <w:pPr>
        <w:spacing w:before="1480" w:after="0"/>
        <w:jc w:val="right"/>
        <w:rPr>
          <w:rFonts w:eastAsia="Calibri" w:cs="Times New Roman"/>
          <w:b/>
          <w:sz w:val="44"/>
        </w:rPr>
      </w:pPr>
      <w:r>
        <w:rPr>
          <w:rFonts w:eastAsia="Calibri" w:cs="Times New Roman"/>
          <w:b/>
          <w:sz w:val="44"/>
        </w:rPr>
        <w:t>Template Shareholders Agreement</w:t>
      </w:r>
    </w:p>
    <w:p w:rsidR="00025445" w:rsidRDefault="00025445">
      <w:pPr>
        <w:spacing w:before="1480" w:after="0"/>
        <w:jc w:val="right"/>
        <w:rPr>
          <w:rFonts w:eastAsia="Calibri" w:cs="Times New Roman"/>
          <w:b/>
          <w:sz w:val="44"/>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6D4E7B">
      <w:pPr>
        <w:spacing w:after="0"/>
        <w:jc w:val="right"/>
        <w:rPr>
          <w:rFonts w:eastAsia="Calibri" w:cs="Times New Roman"/>
        </w:rPr>
      </w:pPr>
      <w:r>
        <w:rPr>
          <w:rFonts w:eastAsia="Calibri" w:cs="Times New Roman"/>
        </w:rPr>
        <w:t xml:space="preserve">in respect of </w:t>
      </w:r>
    </w:p>
    <w:p w:rsidR="00025445" w:rsidRDefault="00025445">
      <w:pPr>
        <w:spacing w:after="0"/>
        <w:jc w:val="right"/>
        <w:rPr>
          <w:rFonts w:eastAsia="Calibri" w:cs="Times New Roman"/>
        </w:rPr>
      </w:pPr>
    </w:p>
    <w:p w:rsidR="00025445" w:rsidRDefault="006D4E7B">
      <w:pPr>
        <w:spacing w:after="0"/>
        <w:jc w:val="right"/>
        <w:rPr>
          <w:rFonts w:eastAsia="Calibri" w:cs="Times New Roman"/>
          <w:sz w:val="32"/>
        </w:rPr>
      </w:pPr>
      <w:r>
        <w:rPr>
          <w:rFonts w:eastAsia="Calibri" w:cs="Times New Roman"/>
          <w:sz w:val="32"/>
          <w:highlight w:val="yellow"/>
        </w:rPr>
        <w:t>Company Name</w:t>
      </w:r>
    </w:p>
    <w:p w:rsidR="00025445" w:rsidRDefault="006D4E7B">
      <w:pPr>
        <w:spacing w:after="0"/>
        <w:jc w:val="right"/>
        <w:rPr>
          <w:rFonts w:eastAsia="Calibri" w:cs="Times New Roman"/>
        </w:rPr>
      </w:pPr>
      <w:r>
        <w:rPr>
          <w:rFonts w:eastAsia="Calibri" w:cs="Times New Roman"/>
        </w:rPr>
        <w:t xml:space="preserve">ACN </w:t>
      </w:r>
      <w:r>
        <w:rPr>
          <w:rFonts w:eastAsia="Calibri" w:cs="Times New Roman"/>
          <w:color w:val="0000FF"/>
        </w:rPr>
        <w:t xml:space="preserve"> </w:t>
      </w:r>
      <w:r>
        <w:rPr>
          <w:rFonts w:eastAsia="Calibri" w:cs="Times New Roman"/>
          <w:highlight w:val="yellow"/>
        </w:rPr>
        <w:t>ACN</w:t>
      </w: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6D4E7B">
      <w:pPr>
        <w:spacing w:after="0"/>
        <w:rPr>
          <w:rFonts w:eastAsia="Calibri" w:cs="Times New Roman"/>
          <w:b/>
          <w:i/>
        </w:rPr>
      </w:pPr>
      <w:r>
        <w:rPr>
          <w:rFonts w:eastAsia="Calibri" w:cs="Times New Roman"/>
          <w:b/>
          <w:i/>
        </w:rPr>
        <w:t xml:space="preserve">[Disclaimer: This document is intended to serve as a starting point only. It should be carefully </w:t>
      </w:r>
      <w:r>
        <w:rPr>
          <w:rFonts w:eastAsia="Calibri" w:cs="Times New Roman"/>
          <w:b/>
          <w:i/>
        </w:rPr>
        <w:t>considered and tailored to meet your specific commercial requirements and circumstances. This document, and any guidance note within this document, must not be relied on as legal advice and we recommend that you seek professional legal advice to ensure tha</w:t>
      </w:r>
      <w:r>
        <w:rPr>
          <w:rFonts w:eastAsia="Calibri" w:cs="Times New Roman"/>
          <w:b/>
          <w:i/>
        </w:rPr>
        <w:t>t this document is suitable for your specific situation]</w:t>
      </w: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jc w:val="right"/>
        <w:rPr>
          <w:rFonts w:eastAsia="Calibri" w:cs="Times New Roman"/>
        </w:rPr>
      </w:pPr>
    </w:p>
    <w:p w:rsidR="00025445" w:rsidRDefault="00025445">
      <w:pPr>
        <w:spacing w:after="0"/>
        <w:rPr>
          <w:rFonts w:eastAsia="Calibri" w:cs="Times New Roman"/>
        </w:rPr>
      </w:pPr>
    </w:p>
    <w:p w:rsidR="00025445" w:rsidRDefault="00025445">
      <w:pPr>
        <w:spacing w:after="0"/>
        <w:jc w:val="right"/>
        <w:rPr>
          <w:rFonts w:eastAsia="Calibri" w:cs="Times New Roman"/>
        </w:rPr>
        <w:sectPr w:rsidR="00025445">
          <w:headerReference w:type="even" r:id="rId9"/>
          <w:headerReference w:type="default" r:id="rId10"/>
          <w:footerReference w:type="even" r:id="rId11"/>
          <w:footerReference w:type="default" r:id="rId12"/>
          <w:headerReference w:type="first" r:id="rId13"/>
          <w:footerReference w:type="first" r:id="rId14"/>
          <w:pgSz w:w="11906" w:h="16838" w:code="9"/>
          <w:pgMar w:top="1134" w:right="2268" w:bottom="1134" w:left="1134" w:header="720" w:footer="720" w:gutter="0"/>
          <w:cols w:space="720"/>
          <w:titlePg/>
        </w:sectPr>
      </w:pPr>
    </w:p>
    <w:p w:rsidR="00025445" w:rsidRDefault="006D4E7B">
      <w:pPr>
        <w:keepNext/>
        <w:jc w:val="left"/>
        <w:rPr>
          <w:rFonts w:eastAsia="Calibri" w:cs="Times New Roman"/>
          <w:b/>
          <w:sz w:val="28"/>
          <w:szCs w:val="28"/>
        </w:rPr>
      </w:pPr>
      <w:r>
        <w:rPr>
          <w:rFonts w:eastAsia="Calibri" w:cs="Times New Roman"/>
          <w:b/>
          <w:sz w:val="28"/>
          <w:szCs w:val="28"/>
        </w:rPr>
        <w:lastRenderedPageBreak/>
        <w:t>Table of Contents</w:t>
      </w:r>
    </w:p>
    <w:p w:rsidR="00025445" w:rsidRDefault="006D4E7B">
      <w:pPr>
        <w:pStyle w:val="TOC1"/>
        <w:rPr>
          <w:rFonts w:asciiTheme="minorHAnsi" w:eastAsiaTheme="minorEastAsia" w:hAnsiTheme="minorHAnsi"/>
          <w:b w:val="0"/>
          <w:sz w:val="22"/>
          <w:lang w:eastAsia="en-AU"/>
        </w:rPr>
      </w:pPr>
      <w:r>
        <w:rPr>
          <w:rFonts w:eastAsia="Calibri" w:cs="Times New Roman"/>
          <w:b w:val="0"/>
          <w:sz w:val="22"/>
        </w:rPr>
        <w:fldChar w:fldCharType="begin"/>
      </w:r>
      <w:r>
        <w:rPr>
          <w:rFonts w:eastAsia="Calibri" w:cs="Times New Roman"/>
        </w:rPr>
        <w:instrText xml:space="preserve"> TOC \o "1-2" \t "Schedule,3" </w:instrText>
      </w:r>
      <w:r>
        <w:rPr>
          <w:rFonts w:eastAsia="Calibri" w:cs="Times New Roman"/>
          <w:b w:val="0"/>
          <w:sz w:val="22"/>
        </w:rPr>
        <w:fldChar w:fldCharType="separate"/>
      </w:r>
      <w:r>
        <w:t>1.</w:t>
      </w:r>
      <w:r>
        <w:rPr>
          <w:rFonts w:asciiTheme="minorHAnsi" w:eastAsiaTheme="minorEastAsia" w:hAnsiTheme="minorHAnsi"/>
          <w:b w:val="0"/>
          <w:sz w:val="22"/>
          <w:lang w:eastAsia="en-AU"/>
        </w:rPr>
        <w:tab/>
      </w:r>
      <w:r>
        <w:t>Definitions</w:t>
      </w:r>
      <w:r>
        <w:tab/>
      </w:r>
      <w:r>
        <w:fldChar w:fldCharType="begin"/>
      </w:r>
      <w:r>
        <w:instrText xml:space="preserve"> PAGEREF _Toc485213308 \h </w:instrText>
      </w:r>
      <w:r>
        <w:fldChar w:fldCharType="separate"/>
      </w:r>
      <w:r>
        <w:t>1</w:t>
      </w:r>
      <w:r>
        <w:fldChar w:fldCharType="end"/>
      </w:r>
    </w:p>
    <w:p w:rsidR="00025445" w:rsidRDefault="006D4E7B">
      <w:pPr>
        <w:pStyle w:val="TOC1"/>
        <w:rPr>
          <w:rFonts w:asciiTheme="minorHAnsi" w:eastAsiaTheme="minorEastAsia" w:hAnsiTheme="minorHAnsi"/>
          <w:b w:val="0"/>
          <w:sz w:val="22"/>
          <w:lang w:eastAsia="en-AU"/>
        </w:rPr>
      </w:pPr>
      <w:r>
        <w:t>2.</w:t>
      </w:r>
      <w:r>
        <w:rPr>
          <w:rFonts w:asciiTheme="minorHAnsi" w:eastAsiaTheme="minorEastAsia" w:hAnsiTheme="minorHAnsi"/>
          <w:b w:val="0"/>
          <w:sz w:val="22"/>
          <w:lang w:eastAsia="en-AU"/>
        </w:rPr>
        <w:tab/>
      </w:r>
      <w:r>
        <w:t>Interpretation</w:t>
      </w:r>
      <w:r>
        <w:tab/>
      </w:r>
      <w:r>
        <w:fldChar w:fldCharType="begin"/>
      </w:r>
      <w:r>
        <w:instrText xml:space="preserve"> PAGEREF _Toc485213309 \h </w:instrText>
      </w:r>
      <w:r>
        <w:fldChar w:fldCharType="separate"/>
      </w:r>
      <w:r>
        <w:t>6</w:t>
      </w:r>
      <w:r>
        <w:fldChar w:fldCharType="end"/>
      </w:r>
    </w:p>
    <w:p w:rsidR="00025445" w:rsidRDefault="006D4E7B">
      <w:pPr>
        <w:pStyle w:val="TOC1"/>
        <w:rPr>
          <w:rFonts w:asciiTheme="minorHAnsi" w:eastAsiaTheme="minorEastAsia" w:hAnsiTheme="minorHAnsi"/>
          <w:b w:val="0"/>
          <w:sz w:val="22"/>
          <w:lang w:eastAsia="en-AU"/>
        </w:rPr>
      </w:pPr>
      <w:r>
        <w:t>3.</w:t>
      </w:r>
      <w:r>
        <w:rPr>
          <w:rFonts w:asciiTheme="minorHAnsi" w:eastAsiaTheme="minorEastAsia" w:hAnsiTheme="minorHAnsi"/>
          <w:b w:val="0"/>
          <w:sz w:val="22"/>
          <w:lang w:eastAsia="en-AU"/>
        </w:rPr>
        <w:tab/>
      </w:r>
      <w:r>
        <w:t>Board of Directors</w:t>
      </w:r>
      <w:r>
        <w:tab/>
      </w:r>
      <w:r>
        <w:fldChar w:fldCharType="begin"/>
      </w:r>
      <w:r>
        <w:instrText xml:space="preserve"> PAGEREF _Toc485213310 \h </w:instrText>
      </w:r>
      <w:r>
        <w:fldChar w:fldCharType="separate"/>
      </w:r>
      <w:r>
        <w:t>6</w:t>
      </w:r>
      <w:r>
        <w:fldChar w:fldCharType="end"/>
      </w:r>
    </w:p>
    <w:p w:rsidR="00025445" w:rsidRDefault="006D4E7B">
      <w:pPr>
        <w:pStyle w:val="TOC2"/>
        <w:rPr>
          <w:rFonts w:asciiTheme="minorHAnsi" w:eastAsiaTheme="minorEastAsia" w:hAnsiTheme="minorHAnsi"/>
          <w:noProof/>
          <w:sz w:val="22"/>
          <w:lang w:eastAsia="en-AU"/>
        </w:rPr>
      </w:pPr>
      <w:r>
        <w:rPr>
          <w:noProof/>
        </w:rPr>
        <w:t>3.1</w:t>
      </w:r>
      <w:r>
        <w:rPr>
          <w:rFonts w:asciiTheme="minorHAnsi" w:eastAsiaTheme="minorEastAsia" w:hAnsiTheme="minorHAnsi"/>
          <w:noProof/>
          <w:sz w:val="22"/>
          <w:lang w:eastAsia="en-AU"/>
        </w:rPr>
        <w:tab/>
      </w:r>
      <w:r>
        <w:rPr>
          <w:noProof/>
        </w:rPr>
        <w:t>Number of Directors</w:t>
      </w:r>
      <w:r>
        <w:rPr>
          <w:noProof/>
        </w:rPr>
        <w:tab/>
      </w:r>
      <w:r>
        <w:rPr>
          <w:noProof/>
        </w:rPr>
        <w:fldChar w:fldCharType="begin"/>
      </w:r>
      <w:r>
        <w:rPr>
          <w:noProof/>
        </w:rPr>
        <w:instrText xml:space="preserve"> PAGEREF _Toc485213311 \h </w:instrText>
      </w:r>
      <w:r>
        <w:rPr>
          <w:noProof/>
        </w:rPr>
      </w:r>
      <w:r>
        <w:rPr>
          <w:noProof/>
        </w:rPr>
        <w:fldChar w:fldCharType="separate"/>
      </w:r>
      <w:r>
        <w:rPr>
          <w:noProof/>
        </w:rPr>
        <w:t>6</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3.2</w:t>
      </w:r>
      <w:r>
        <w:rPr>
          <w:rFonts w:asciiTheme="minorHAnsi" w:eastAsiaTheme="minorEastAsia" w:hAnsiTheme="minorHAnsi"/>
          <w:noProof/>
          <w:sz w:val="22"/>
          <w:lang w:eastAsia="en-AU"/>
        </w:rPr>
        <w:tab/>
      </w:r>
      <w:r>
        <w:rPr>
          <w:noProof/>
        </w:rPr>
        <w:t>Appointment and removal of Director by other Shareholders</w:t>
      </w:r>
      <w:r>
        <w:rPr>
          <w:noProof/>
        </w:rPr>
        <w:tab/>
      </w:r>
      <w:r>
        <w:rPr>
          <w:noProof/>
        </w:rPr>
        <w:fldChar w:fldCharType="begin"/>
      </w:r>
      <w:r>
        <w:rPr>
          <w:noProof/>
        </w:rPr>
        <w:instrText xml:space="preserve"> PAGEREF _Toc485213312 \h </w:instrText>
      </w:r>
      <w:r>
        <w:rPr>
          <w:noProof/>
        </w:rPr>
      </w:r>
      <w:r>
        <w:rPr>
          <w:noProof/>
        </w:rPr>
        <w:fldChar w:fldCharType="separate"/>
      </w:r>
      <w:r>
        <w:rPr>
          <w:noProof/>
        </w:rPr>
        <w:t>7</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3.3</w:t>
      </w:r>
      <w:r>
        <w:rPr>
          <w:rFonts w:asciiTheme="minorHAnsi" w:eastAsiaTheme="minorEastAsia" w:hAnsiTheme="minorHAnsi"/>
          <w:noProof/>
          <w:sz w:val="22"/>
          <w:lang w:eastAsia="en-AU"/>
        </w:rPr>
        <w:tab/>
      </w:r>
      <w:r>
        <w:rPr>
          <w:noProof/>
        </w:rPr>
        <w:t>Removal of Directors</w:t>
      </w:r>
      <w:r>
        <w:rPr>
          <w:noProof/>
        </w:rPr>
        <w:tab/>
      </w:r>
      <w:r>
        <w:rPr>
          <w:noProof/>
        </w:rPr>
        <w:fldChar w:fldCharType="begin"/>
      </w:r>
      <w:r>
        <w:rPr>
          <w:noProof/>
        </w:rPr>
        <w:instrText xml:space="preserve"> PAGEREF _Toc485213313 \h </w:instrText>
      </w:r>
      <w:r>
        <w:rPr>
          <w:noProof/>
        </w:rPr>
      </w:r>
      <w:r>
        <w:rPr>
          <w:noProof/>
        </w:rPr>
        <w:fldChar w:fldCharType="separate"/>
      </w:r>
      <w:r>
        <w:rPr>
          <w:noProof/>
        </w:rPr>
        <w:t>7</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3.4</w:t>
      </w:r>
      <w:r>
        <w:rPr>
          <w:rFonts w:asciiTheme="minorHAnsi" w:eastAsiaTheme="minorEastAsia" w:hAnsiTheme="minorHAnsi"/>
          <w:noProof/>
          <w:sz w:val="22"/>
          <w:lang w:eastAsia="en-AU"/>
        </w:rPr>
        <w:tab/>
      </w:r>
      <w:r>
        <w:rPr>
          <w:noProof/>
        </w:rPr>
        <w:t>Notice of appointment or removal</w:t>
      </w:r>
      <w:r>
        <w:rPr>
          <w:noProof/>
        </w:rPr>
        <w:tab/>
      </w:r>
      <w:r>
        <w:rPr>
          <w:noProof/>
        </w:rPr>
        <w:fldChar w:fldCharType="begin"/>
      </w:r>
      <w:r>
        <w:rPr>
          <w:noProof/>
        </w:rPr>
        <w:instrText xml:space="preserve"> PAGEREF _Toc485213314 \h </w:instrText>
      </w:r>
      <w:r>
        <w:rPr>
          <w:noProof/>
        </w:rPr>
      </w:r>
      <w:r>
        <w:rPr>
          <w:noProof/>
        </w:rPr>
        <w:fldChar w:fldCharType="separate"/>
      </w:r>
      <w:r>
        <w:rPr>
          <w:noProof/>
        </w:rPr>
        <w:t>7</w:t>
      </w:r>
      <w:r>
        <w:rPr>
          <w:noProof/>
        </w:rPr>
        <w:fldChar w:fldCharType="end"/>
      </w:r>
    </w:p>
    <w:p w:rsidR="00025445" w:rsidRDefault="006D4E7B">
      <w:pPr>
        <w:pStyle w:val="TOC1"/>
        <w:rPr>
          <w:rFonts w:asciiTheme="minorHAnsi" w:eastAsiaTheme="minorEastAsia" w:hAnsiTheme="minorHAnsi"/>
          <w:b w:val="0"/>
          <w:sz w:val="22"/>
          <w:lang w:eastAsia="en-AU"/>
        </w:rPr>
      </w:pPr>
      <w:r>
        <w:t>4.</w:t>
      </w:r>
      <w:r>
        <w:rPr>
          <w:rFonts w:asciiTheme="minorHAnsi" w:eastAsiaTheme="minorEastAsia" w:hAnsiTheme="minorHAnsi"/>
          <w:b w:val="0"/>
          <w:sz w:val="22"/>
          <w:lang w:eastAsia="en-AU"/>
        </w:rPr>
        <w:tab/>
      </w:r>
      <w:r>
        <w:t>Management and decision making</w:t>
      </w:r>
      <w:r>
        <w:tab/>
      </w:r>
      <w:r>
        <w:fldChar w:fldCharType="begin"/>
      </w:r>
      <w:r>
        <w:instrText xml:space="preserve"> PAGEREF _Toc485213315 \h </w:instrText>
      </w:r>
      <w:r>
        <w:fldChar w:fldCharType="separate"/>
      </w:r>
      <w:r>
        <w:t>8</w:t>
      </w:r>
      <w:r>
        <w:fldChar w:fldCharType="end"/>
      </w:r>
    </w:p>
    <w:p w:rsidR="00025445" w:rsidRDefault="006D4E7B">
      <w:pPr>
        <w:pStyle w:val="TOC2"/>
        <w:rPr>
          <w:rFonts w:asciiTheme="minorHAnsi" w:eastAsiaTheme="minorEastAsia" w:hAnsiTheme="minorHAnsi"/>
          <w:noProof/>
          <w:sz w:val="22"/>
          <w:lang w:eastAsia="en-AU"/>
        </w:rPr>
      </w:pPr>
      <w:r>
        <w:rPr>
          <w:noProof/>
        </w:rPr>
        <w:t>4.1</w:t>
      </w:r>
      <w:r>
        <w:rPr>
          <w:rFonts w:asciiTheme="minorHAnsi" w:eastAsiaTheme="minorEastAsia" w:hAnsiTheme="minorHAnsi"/>
          <w:noProof/>
          <w:sz w:val="22"/>
          <w:lang w:eastAsia="en-AU"/>
        </w:rPr>
        <w:tab/>
      </w:r>
      <w:r>
        <w:rPr>
          <w:noProof/>
        </w:rPr>
        <w:t>Overall direction of the Company</w:t>
      </w:r>
      <w:r>
        <w:rPr>
          <w:noProof/>
        </w:rPr>
        <w:tab/>
      </w:r>
      <w:r>
        <w:rPr>
          <w:noProof/>
        </w:rPr>
        <w:fldChar w:fldCharType="begin"/>
      </w:r>
      <w:r>
        <w:rPr>
          <w:noProof/>
        </w:rPr>
        <w:instrText xml:space="preserve"> PAGEREF _Toc485213316 \h </w:instrText>
      </w:r>
      <w:r>
        <w:rPr>
          <w:noProof/>
        </w:rPr>
      </w:r>
      <w:r>
        <w:rPr>
          <w:noProof/>
        </w:rPr>
        <w:fldChar w:fldCharType="separate"/>
      </w:r>
      <w:r>
        <w:rPr>
          <w:noProof/>
        </w:rPr>
        <w:t>8</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4.2</w:t>
      </w:r>
      <w:r>
        <w:rPr>
          <w:rFonts w:asciiTheme="minorHAnsi" w:eastAsiaTheme="minorEastAsia" w:hAnsiTheme="minorHAnsi"/>
          <w:noProof/>
          <w:sz w:val="22"/>
          <w:lang w:eastAsia="en-AU"/>
        </w:rPr>
        <w:tab/>
      </w:r>
      <w:r>
        <w:rPr>
          <w:noProof/>
        </w:rPr>
        <w:t>Board decisions by Required Resolution</w:t>
      </w:r>
      <w:r>
        <w:rPr>
          <w:noProof/>
        </w:rPr>
        <w:tab/>
      </w:r>
      <w:r>
        <w:rPr>
          <w:noProof/>
        </w:rPr>
        <w:fldChar w:fldCharType="begin"/>
      </w:r>
      <w:r>
        <w:rPr>
          <w:noProof/>
        </w:rPr>
        <w:instrText xml:space="preserve"> PAGEREF _Toc485213317 \h </w:instrText>
      </w:r>
      <w:r>
        <w:rPr>
          <w:noProof/>
        </w:rPr>
      </w:r>
      <w:r>
        <w:rPr>
          <w:noProof/>
        </w:rPr>
        <w:fldChar w:fldCharType="separate"/>
      </w:r>
      <w:r>
        <w:rPr>
          <w:noProof/>
        </w:rPr>
        <w:t>8</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4.3</w:t>
      </w:r>
      <w:r>
        <w:rPr>
          <w:rFonts w:asciiTheme="minorHAnsi" w:eastAsiaTheme="minorEastAsia" w:hAnsiTheme="minorHAnsi"/>
          <w:noProof/>
          <w:sz w:val="22"/>
          <w:lang w:eastAsia="en-AU"/>
        </w:rPr>
        <w:tab/>
      </w:r>
      <w:r>
        <w:rPr>
          <w:noProof/>
        </w:rPr>
        <w:t>Shareholder decisions by Special Resolution</w:t>
      </w:r>
      <w:r>
        <w:rPr>
          <w:noProof/>
        </w:rPr>
        <w:tab/>
      </w:r>
      <w:r>
        <w:rPr>
          <w:noProof/>
        </w:rPr>
        <w:fldChar w:fldCharType="begin"/>
      </w:r>
      <w:r>
        <w:rPr>
          <w:noProof/>
        </w:rPr>
        <w:instrText xml:space="preserve"> PAGE</w:instrText>
      </w:r>
      <w:r>
        <w:rPr>
          <w:noProof/>
        </w:rPr>
        <w:instrText xml:space="preserve">REF _Toc485213318 \h </w:instrText>
      </w:r>
      <w:r>
        <w:rPr>
          <w:noProof/>
        </w:rPr>
      </w:r>
      <w:r>
        <w:rPr>
          <w:noProof/>
        </w:rPr>
        <w:fldChar w:fldCharType="separate"/>
      </w:r>
      <w:r>
        <w:rPr>
          <w:noProof/>
        </w:rPr>
        <w:t>8</w:t>
      </w:r>
      <w:r>
        <w:rPr>
          <w:noProof/>
        </w:rPr>
        <w:fldChar w:fldCharType="end"/>
      </w:r>
    </w:p>
    <w:p w:rsidR="00025445" w:rsidRDefault="006D4E7B">
      <w:pPr>
        <w:pStyle w:val="TOC1"/>
        <w:rPr>
          <w:rFonts w:asciiTheme="minorHAnsi" w:eastAsiaTheme="minorEastAsia" w:hAnsiTheme="minorHAnsi"/>
          <w:b w:val="0"/>
          <w:sz w:val="22"/>
          <w:lang w:eastAsia="en-AU"/>
        </w:rPr>
      </w:pPr>
      <w:r>
        <w:t>5.</w:t>
      </w:r>
      <w:r>
        <w:rPr>
          <w:rFonts w:asciiTheme="minorHAnsi" w:eastAsiaTheme="minorEastAsia" w:hAnsiTheme="minorHAnsi"/>
          <w:b w:val="0"/>
          <w:sz w:val="22"/>
          <w:lang w:eastAsia="en-AU"/>
        </w:rPr>
        <w:tab/>
      </w:r>
      <w:r>
        <w:t>General restrictions on Disposal and Issue</w:t>
      </w:r>
      <w:r>
        <w:tab/>
      </w:r>
      <w:r>
        <w:fldChar w:fldCharType="begin"/>
      </w:r>
      <w:r>
        <w:instrText xml:space="preserve"> PAGEREF _Toc485213319 \h </w:instrText>
      </w:r>
      <w:r>
        <w:fldChar w:fldCharType="separate"/>
      </w:r>
      <w:r>
        <w:t>8</w:t>
      </w:r>
      <w:r>
        <w:fldChar w:fldCharType="end"/>
      </w:r>
    </w:p>
    <w:p w:rsidR="00025445" w:rsidRDefault="006D4E7B">
      <w:pPr>
        <w:pStyle w:val="TOC2"/>
        <w:rPr>
          <w:rFonts w:asciiTheme="minorHAnsi" w:eastAsiaTheme="minorEastAsia" w:hAnsiTheme="minorHAnsi"/>
          <w:noProof/>
          <w:sz w:val="22"/>
          <w:lang w:eastAsia="en-AU"/>
        </w:rPr>
      </w:pPr>
      <w:r>
        <w:rPr>
          <w:noProof/>
        </w:rPr>
        <w:t>5.1</w:t>
      </w:r>
      <w:r>
        <w:rPr>
          <w:rFonts w:asciiTheme="minorHAnsi" w:eastAsiaTheme="minorEastAsia" w:hAnsiTheme="minorHAnsi"/>
          <w:noProof/>
          <w:sz w:val="22"/>
          <w:lang w:eastAsia="en-AU"/>
        </w:rPr>
        <w:tab/>
      </w:r>
      <w:r>
        <w:rPr>
          <w:noProof/>
        </w:rPr>
        <w:t>General restriction</w:t>
      </w:r>
      <w:r>
        <w:rPr>
          <w:noProof/>
        </w:rPr>
        <w:t xml:space="preserve"> on Security Interests</w:t>
      </w:r>
      <w:r>
        <w:rPr>
          <w:noProof/>
        </w:rPr>
        <w:tab/>
      </w:r>
      <w:r>
        <w:rPr>
          <w:noProof/>
        </w:rPr>
        <w:fldChar w:fldCharType="begin"/>
      </w:r>
      <w:r>
        <w:rPr>
          <w:noProof/>
        </w:rPr>
        <w:instrText xml:space="preserve"> PAGEREF _Toc485213320 \h </w:instrText>
      </w:r>
      <w:r>
        <w:rPr>
          <w:noProof/>
        </w:rPr>
      </w:r>
      <w:r>
        <w:rPr>
          <w:noProof/>
        </w:rPr>
        <w:fldChar w:fldCharType="separate"/>
      </w:r>
      <w:r>
        <w:rPr>
          <w:noProof/>
        </w:rPr>
        <w:t>8</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5.2</w:t>
      </w:r>
      <w:r>
        <w:rPr>
          <w:rFonts w:asciiTheme="minorHAnsi" w:eastAsiaTheme="minorEastAsia" w:hAnsiTheme="minorHAnsi"/>
          <w:noProof/>
          <w:sz w:val="22"/>
          <w:lang w:eastAsia="en-AU"/>
        </w:rPr>
        <w:tab/>
      </w:r>
      <w:r>
        <w:rPr>
          <w:noProof/>
        </w:rPr>
        <w:t>Deed of Accession</w:t>
      </w:r>
      <w:r>
        <w:rPr>
          <w:noProof/>
        </w:rPr>
        <w:tab/>
      </w:r>
      <w:r>
        <w:rPr>
          <w:noProof/>
        </w:rPr>
        <w:fldChar w:fldCharType="begin"/>
      </w:r>
      <w:r>
        <w:rPr>
          <w:noProof/>
        </w:rPr>
        <w:instrText xml:space="preserve"> PAGEREF _Toc485213321 \h </w:instrText>
      </w:r>
      <w:r>
        <w:rPr>
          <w:noProof/>
        </w:rPr>
      </w:r>
      <w:r>
        <w:rPr>
          <w:noProof/>
        </w:rPr>
        <w:fldChar w:fldCharType="separate"/>
      </w:r>
      <w:r>
        <w:rPr>
          <w:noProof/>
        </w:rPr>
        <w:t>8</w:t>
      </w:r>
      <w:r>
        <w:rPr>
          <w:noProof/>
        </w:rPr>
        <w:fldChar w:fldCharType="end"/>
      </w:r>
    </w:p>
    <w:p w:rsidR="00025445" w:rsidRDefault="006D4E7B">
      <w:pPr>
        <w:pStyle w:val="TOC1"/>
        <w:rPr>
          <w:rFonts w:asciiTheme="minorHAnsi" w:eastAsiaTheme="minorEastAsia" w:hAnsiTheme="minorHAnsi"/>
          <w:b w:val="0"/>
          <w:sz w:val="22"/>
          <w:lang w:eastAsia="en-AU"/>
        </w:rPr>
      </w:pPr>
      <w:r>
        <w:t>6.</w:t>
      </w:r>
      <w:r>
        <w:rPr>
          <w:rFonts w:asciiTheme="minorHAnsi" w:eastAsiaTheme="minorEastAsia" w:hAnsiTheme="minorHAnsi"/>
          <w:b w:val="0"/>
          <w:sz w:val="22"/>
          <w:lang w:eastAsia="en-AU"/>
        </w:rPr>
        <w:tab/>
      </w:r>
      <w:r>
        <w:t>Pre-emptive rights on issue of Securities</w:t>
      </w:r>
      <w:r>
        <w:tab/>
      </w:r>
      <w:r>
        <w:fldChar w:fldCharType="begin"/>
      </w:r>
      <w:r>
        <w:instrText xml:space="preserve"> PAGEREF _Toc485213322 \h </w:instrText>
      </w:r>
      <w:r>
        <w:fldChar w:fldCharType="separate"/>
      </w:r>
      <w:r>
        <w:t>9</w:t>
      </w:r>
      <w:r>
        <w:fldChar w:fldCharType="end"/>
      </w:r>
    </w:p>
    <w:p w:rsidR="00025445" w:rsidRDefault="006D4E7B">
      <w:pPr>
        <w:pStyle w:val="TOC2"/>
        <w:rPr>
          <w:rFonts w:asciiTheme="minorHAnsi" w:eastAsiaTheme="minorEastAsia" w:hAnsiTheme="minorHAnsi"/>
          <w:noProof/>
          <w:sz w:val="22"/>
          <w:lang w:eastAsia="en-AU"/>
        </w:rPr>
      </w:pPr>
      <w:r>
        <w:rPr>
          <w:noProof/>
        </w:rPr>
        <w:t>6.1</w:t>
      </w:r>
      <w:r>
        <w:rPr>
          <w:rFonts w:asciiTheme="minorHAnsi" w:eastAsiaTheme="minorEastAsia" w:hAnsiTheme="minorHAnsi"/>
          <w:noProof/>
          <w:sz w:val="22"/>
          <w:lang w:eastAsia="en-AU"/>
        </w:rPr>
        <w:tab/>
      </w:r>
      <w:r>
        <w:rPr>
          <w:noProof/>
        </w:rPr>
        <w:t>Excluded issues</w:t>
      </w:r>
      <w:r>
        <w:rPr>
          <w:noProof/>
        </w:rPr>
        <w:tab/>
      </w:r>
      <w:r>
        <w:rPr>
          <w:noProof/>
        </w:rPr>
        <w:fldChar w:fldCharType="begin"/>
      </w:r>
      <w:r>
        <w:rPr>
          <w:noProof/>
        </w:rPr>
        <w:instrText xml:space="preserve"> PAGEREF _Toc485213323 \h </w:instrText>
      </w:r>
      <w:r>
        <w:rPr>
          <w:noProof/>
        </w:rPr>
      </w:r>
      <w:r>
        <w:rPr>
          <w:noProof/>
        </w:rPr>
        <w:fldChar w:fldCharType="separate"/>
      </w:r>
      <w:r>
        <w:rPr>
          <w:noProof/>
        </w:rPr>
        <w:t>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6.2</w:t>
      </w:r>
      <w:r>
        <w:rPr>
          <w:rFonts w:asciiTheme="minorHAnsi" w:eastAsiaTheme="minorEastAsia" w:hAnsiTheme="minorHAnsi"/>
          <w:noProof/>
          <w:sz w:val="22"/>
          <w:lang w:eastAsia="en-AU"/>
        </w:rPr>
        <w:tab/>
      </w:r>
      <w:r>
        <w:rPr>
          <w:noProof/>
        </w:rPr>
        <w:t>Offer</w:t>
      </w:r>
      <w:r>
        <w:rPr>
          <w:noProof/>
        </w:rPr>
        <w:tab/>
      </w:r>
      <w:r>
        <w:rPr>
          <w:noProof/>
        </w:rPr>
        <w:fldChar w:fldCharType="begin"/>
      </w:r>
      <w:r>
        <w:rPr>
          <w:noProof/>
        </w:rPr>
        <w:instrText xml:space="preserve"> PAGEREF _Toc485213324 \h </w:instrText>
      </w:r>
      <w:r>
        <w:rPr>
          <w:noProof/>
        </w:rPr>
      </w:r>
      <w:r>
        <w:rPr>
          <w:noProof/>
        </w:rPr>
        <w:fldChar w:fldCharType="separate"/>
      </w:r>
      <w:r>
        <w:rPr>
          <w:noProof/>
        </w:rPr>
        <w:t>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6.3</w:t>
      </w:r>
      <w:r>
        <w:rPr>
          <w:rFonts w:asciiTheme="minorHAnsi" w:eastAsiaTheme="minorEastAsia" w:hAnsiTheme="minorHAnsi"/>
          <w:noProof/>
          <w:sz w:val="22"/>
          <w:lang w:eastAsia="en-AU"/>
        </w:rPr>
        <w:tab/>
      </w:r>
      <w:r>
        <w:rPr>
          <w:noProof/>
        </w:rPr>
        <w:t>Acceptance</w:t>
      </w:r>
      <w:r>
        <w:rPr>
          <w:noProof/>
        </w:rPr>
        <w:tab/>
      </w:r>
      <w:r>
        <w:rPr>
          <w:noProof/>
        </w:rPr>
        <w:fldChar w:fldCharType="begin"/>
      </w:r>
      <w:r>
        <w:rPr>
          <w:noProof/>
        </w:rPr>
        <w:instrText xml:space="preserve"> PAGEREF _Toc485213325 \h </w:instrText>
      </w:r>
      <w:r>
        <w:rPr>
          <w:noProof/>
        </w:rPr>
      </w:r>
      <w:r>
        <w:rPr>
          <w:noProof/>
        </w:rPr>
        <w:fldChar w:fldCharType="separate"/>
      </w:r>
      <w:r>
        <w:rPr>
          <w:noProof/>
        </w:rPr>
        <w:t>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6.4</w:t>
      </w:r>
      <w:r>
        <w:rPr>
          <w:rFonts w:asciiTheme="minorHAnsi" w:eastAsiaTheme="minorEastAsia" w:hAnsiTheme="minorHAnsi"/>
          <w:noProof/>
          <w:sz w:val="22"/>
          <w:lang w:eastAsia="en-AU"/>
        </w:rPr>
        <w:tab/>
      </w:r>
      <w:r>
        <w:rPr>
          <w:noProof/>
        </w:rPr>
        <w:t>Allocation</w:t>
      </w:r>
      <w:r>
        <w:rPr>
          <w:noProof/>
        </w:rPr>
        <w:tab/>
      </w:r>
      <w:r>
        <w:rPr>
          <w:noProof/>
        </w:rPr>
        <w:fldChar w:fldCharType="begin"/>
      </w:r>
      <w:r>
        <w:rPr>
          <w:noProof/>
        </w:rPr>
        <w:instrText xml:space="preserve"> PAGEREF _Toc485213326 \h </w:instrText>
      </w:r>
      <w:r>
        <w:rPr>
          <w:noProof/>
        </w:rPr>
      </w:r>
      <w:r>
        <w:rPr>
          <w:noProof/>
        </w:rPr>
        <w:fldChar w:fldCharType="separate"/>
      </w:r>
      <w:r>
        <w:rPr>
          <w:noProof/>
        </w:rPr>
        <w:t>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6.5</w:t>
      </w:r>
      <w:r>
        <w:rPr>
          <w:rFonts w:asciiTheme="minorHAnsi" w:eastAsiaTheme="minorEastAsia" w:hAnsiTheme="minorHAnsi"/>
          <w:noProof/>
          <w:sz w:val="22"/>
          <w:lang w:eastAsia="en-AU"/>
        </w:rPr>
        <w:tab/>
      </w:r>
      <w:r>
        <w:rPr>
          <w:noProof/>
        </w:rPr>
        <w:t>Notice of Allocation</w:t>
      </w:r>
      <w:r>
        <w:rPr>
          <w:noProof/>
        </w:rPr>
        <w:tab/>
      </w:r>
      <w:r>
        <w:rPr>
          <w:noProof/>
        </w:rPr>
        <w:fldChar w:fldCharType="begin"/>
      </w:r>
      <w:r>
        <w:rPr>
          <w:noProof/>
        </w:rPr>
        <w:instrText xml:space="preserve"> PAGEREF _Toc485213327 \h </w:instrText>
      </w:r>
      <w:r>
        <w:rPr>
          <w:noProof/>
        </w:rPr>
      </w:r>
      <w:r>
        <w:rPr>
          <w:noProof/>
        </w:rPr>
        <w:fldChar w:fldCharType="separate"/>
      </w:r>
      <w:r>
        <w:rPr>
          <w:noProof/>
        </w:rPr>
        <w:t>10</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6.6</w:t>
      </w:r>
      <w:r>
        <w:rPr>
          <w:rFonts w:asciiTheme="minorHAnsi" w:eastAsiaTheme="minorEastAsia" w:hAnsiTheme="minorHAnsi"/>
          <w:noProof/>
          <w:sz w:val="22"/>
          <w:lang w:eastAsia="en-AU"/>
        </w:rPr>
        <w:tab/>
      </w:r>
      <w:r>
        <w:rPr>
          <w:noProof/>
        </w:rPr>
        <w:t>Completion</w:t>
      </w:r>
      <w:r>
        <w:rPr>
          <w:noProof/>
        </w:rPr>
        <w:tab/>
      </w:r>
      <w:r>
        <w:rPr>
          <w:noProof/>
        </w:rPr>
        <w:fldChar w:fldCharType="begin"/>
      </w:r>
      <w:r>
        <w:rPr>
          <w:noProof/>
        </w:rPr>
        <w:instrText xml:space="preserve"> PAGEREF _Toc485213328 \h </w:instrText>
      </w:r>
      <w:r>
        <w:rPr>
          <w:noProof/>
        </w:rPr>
      </w:r>
      <w:r>
        <w:rPr>
          <w:noProof/>
        </w:rPr>
        <w:fldChar w:fldCharType="separate"/>
      </w:r>
      <w:r>
        <w:rPr>
          <w:noProof/>
        </w:rPr>
        <w:t>10</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6.7</w:t>
      </w:r>
      <w:r>
        <w:rPr>
          <w:rFonts w:asciiTheme="minorHAnsi" w:eastAsiaTheme="minorEastAsia" w:hAnsiTheme="minorHAnsi"/>
          <w:noProof/>
          <w:sz w:val="22"/>
          <w:lang w:eastAsia="en-AU"/>
        </w:rPr>
        <w:tab/>
      </w:r>
      <w:r>
        <w:rPr>
          <w:noProof/>
        </w:rPr>
        <w:t>Issue to Third Parties</w:t>
      </w:r>
      <w:r>
        <w:rPr>
          <w:noProof/>
        </w:rPr>
        <w:tab/>
      </w:r>
      <w:r>
        <w:rPr>
          <w:noProof/>
        </w:rPr>
        <w:fldChar w:fldCharType="begin"/>
      </w:r>
      <w:r>
        <w:rPr>
          <w:noProof/>
        </w:rPr>
        <w:instrText xml:space="preserve"> PAGEREF _Toc485213329 \h </w:instrText>
      </w:r>
      <w:r>
        <w:rPr>
          <w:noProof/>
        </w:rPr>
      </w:r>
      <w:r>
        <w:rPr>
          <w:noProof/>
        </w:rPr>
        <w:fldChar w:fldCharType="separate"/>
      </w:r>
      <w:r>
        <w:rPr>
          <w:noProof/>
        </w:rPr>
        <w:t>10</w:t>
      </w:r>
      <w:r>
        <w:rPr>
          <w:noProof/>
        </w:rPr>
        <w:fldChar w:fldCharType="end"/>
      </w:r>
    </w:p>
    <w:p w:rsidR="00025445" w:rsidRDefault="006D4E7B">
      <w:pPr>
        <w:pStyle w:val="TOC1"/>
        <w:rPr>
          <w:rFonts w:asciiTheme="minorHAnsi" w:eastAsiaTheme="minorEastAsia" w:hAnsiTheme="minorHAnsi"/>
          <w:b w:val="0"/>
          <w:sz w:val="22"/>
          <w:lang w:eastAsia="en-AU"/>
        </w:rPr>
      </w:pPr>
      <w:r>
        <w:t>7.</w:t>
      </w:r>
      <w:r>
        <w:rPr>
          <w:rFonts w:asciiTheme="minorHAnsi" w:eastAsiaTheme="minorEastAsia" w:hAnsiTheme="minorHAnsi"/>
          <w:b w:val="0"/>
          <w:sz w:val="22"/>
          <w:lang w:eastAsia="en-AU"/>
        </w:rPr>
        <w:tab/>
      </w:r>
      <w:r>
        <w:t>Share plan</w:t>
      </w:r>
      <w:r>
        <w:tab/>
      </w:r>
      <w:r>
        <w:fldChar w:fldCharType="begin"/>
      </w:r>
      <w:r>
        <w:instrText xml:space="preserve"> PAGEREF _Toc485213330 \h </w:instrText>
      </w:r>
      <w:r>
        <w:fldChar w:fldCharType="separate"/>
      </w:r>
      <w:r>
        <w:t>11</w:t>
      </w:r>
      <w:r>
        <w:fldChar w:fldCharType="end"/>
      </w:r>
    </w:p>
    <w:p w:rsidR="00025445" w:rsidRDefault="006D4E7B">
      <w:pPr>
        <w:pStyle w:val="TOC1"/>
        <w:rPr>
          <w:rFonts w:asciiTheme="minorHAnsi" w:eastAsiaTheme="minorEastAsia" w:hAnsiTheme="minorHAnsi"/>
          <w:b w:val="0"/>
          <w:sz w:val="22"/>
          <w:lang w:eastAsia="en-AU"/>
        </w:rPr>
      </w:pPr>
      <w:r>
        <w:t>8.</w:t>
      </w:r>
      <w:r>
        <w:rPr>
          <w:rFonts w:asciiTheme="minorHAnsi" w:eastAsiaTheme="minorEastAsia" w:hAnsiTheme="minorHAnsi"/>
          <w:b w:val="0"/>
          <w:sz w:val="22"/>
          <w:lang w:eastAsia="en-AU"/>
        </w:rPr>
        <w:tab/>
      </w:r>
      <w:r>
        <w:t>Permitted Disposals</w:t>
      </w:r>
      <w:r>
        <w:tab/>
      </w:r>
      <w:r>
        <w:fldChar w:fldCharType="begin"/>
      </w:r>
      <w:r>
        <w:instrText xml:space="preserve"> PAGEREF _Toc485213331 \h </w:instrText>
      </w:r>
      <w:r>
        <w:fldChar w:fldCharType="separate"/>
      </w:r>
      <w:r>
        <w:t>11</w:t>
      </w:r>
      <w:r>
        <w:fldChar w:fldCharType="end"/>
      </w:r>
    </w:p>
    <w:p w:rsidR="00025445" w:rsidRDefault="006D4E7B">
      <w:pPr>
        <w:pStyle w:val="TOC2"/>
        <w:rPr>
          <w:rFonts w:asciiTheme="minorHAnsi" w:eastAsiaTheme="minorEastAsia" w:hAnsiTheme="minorHAnsi"/>
          <w:noProof/>
          <w:sz w:val="22"/>
          <w:lang w:eastAsia="en-AU"/>
        </w:rPr>
      </w:pPr>
      <w:r>
        <w:rPr>
          <w:noProof/>
        </w:rPr>
        <w:t>8.1</w:t>
      </w:r>
      <w:r>
        <w:rPr>
          <w:rFonts w:asciiTheme="minorHAnsi" w:eastAsiaTheme="minorEastAsia" w:hAnsiTheme="minorHAnsi"/>
          <w:noProof/>
          <w:sz w:val="22"/>
          <w:lang w:eastAsia="en-AU"/>
        </w:rPr>
        <w:tab/>
      </w:r>
      <w:r>
        <w:rPr>
          <w:noProof/>
        </w:rPr>
        <w:t>Disposal to Affiliates</w:t>
      </w:r>
      <w:r>
        <w:rPr>
          <w:noProof/>
        </w:rPr>
        <w:tab/>
      </w:r>
      <w:r>
        <w:rPr>
          <w:noProof/>
        </w:rPr>
        <w:fldChar w:fldCharType="begin"/>
      </w:r>
      <w:r>
        <w:rPr>
          <w:noProof/>
        </w:rPr>
        <w:instrText xml:space="preserve"> PAGEREF _Toc485213332 \h </w:instrText>
      </w:r>
      <w:r>
        <w:rPr>
          <w:noProof/>
        </w:rPr>
      </w:r>
      <w:r>
        <w:rPr>
          <w:noProof/>
        </w:rPr>
        <w:fldChar w:fldCharType="separate"/>
      </w:r>
      <w:r>
        <w:rPr>
          <w:noProof/>
        </w:rPr>
        <w:t>11</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8.2</w:t>
      </w:r>
      <w:r>
        <w:rPr>
          <w:rFonts w:asciiTheme="minorHAnsi" w:eastAsiaTheme="minorEastAsia" w:hAnsiTheme="minorHAnsi"/>
          <w:noProof/>
          <w:sz w:val="22"/>
          <w:lang w:eastAsia="en-AU"/>
        </w:rPr>
        <w:tab/>
      </w:r>
      <w:r>
        <w:rPr>
          <w:noProof/>
        </w:rPr>
        <w:t>Ceasing to be an Affiliate</w:t>
      </w:r>
      <w:r>
        <w:rPr>
          <w:noProof/>
        </w:rPr>
        <w:tab/>
      </w:r>
      <w:r>
        <w:rPr>
          <w:noProof/>
        </w:rPr>
        <w:fldChar w:fldCharType="begin"/>
      </w:r>
      <w:r>
        <w:rPr>
          <w:noProof/>
        </w:rPr>
        <w:instrText xml:space="preserve"> PAGEREF _Toc485213333 \h </w:instrText>
      </w:r>
      <w:r>
        <w:rPr>
          <w:noProof/>
        </w:rPr>
      </w:r>
      <w:r>
        <w:rPr>
          <w:noProof/>
        </w:rPr>
        <w:fldChar w:fldCharType="separate"/>
      </w:r>
      <w:r>
        <w:rPr>
          <w:noProof/>
        </w:rPr>
        <w:t>11</w:t>
      </w:r>
      <w:r>
        <w:rPr>
          <w:noProof/>
        </w:rPr>
        <w:fldChar w:fldCharType="end"/>
      </w:r>
    </w:p>
    <w:p w:rsidR="00025445" w:rsidRDefault="006D4E7B">
      <w:pPr>
        <w:pStyle w:val="TOC1"/>
        <w:rPr>
          <w:rFonts w:asciiTheme="minorHAnsi" w:eastAsiaTheme="minorEastAsia" w:hAnsiTheme="minorHAnsi"/>
          <w:b w:val="0"/>
          <w:sz w:val="22"/>
          <w:lang w:eastAsia="en-AU"/>
        </w:rPr>
      </w:pPr>
      <w:r>
        <w:t>9.</w:t>
      </w:r>
      <w:r>
        <w:rPr>
          <w:rFonts w:asciiTheme="minorHAnsi" w:eastAsiaTheme="minorEastAsia" w:hAnsiTheme="minorHAnsi"/>
          <w:b w:val="0"/>
          <w:sz w:val="22"/>
          <w:lang w:eastAsia="en-AU"/>
        </w:rPr>
        <w:tab/>
      </w:r>
      <w:r>
        <w:t>Pre-emptive rights on Disposal</w:t>
      </w:r>
      <w:r>
        <w:tab/>
      </w:r>
      <w:r>
        <w:fldChar w:fldCharType="begin"/>
      </w:r>
      <w:r>
        <w:instrText xml:space="preserve"> PAGEREF _Toc485213334 \h </w:instrText>
      </w:r>
      <w:r>
        <w:fldChar w:fldCharType="separate"/>
      </w:r>
      <w:r>
        <w:t>12</w:t>
      </w:r>
      <w:r>
        <w:fldChar w:fldCharType="end"/>
      </w:r>
    </w:p>
    <w:p w:rsidR="00025445" w:rsidRDefault="006D4E7B">
      <w:pPr>
        <w:pStyle w:val="TOC2"/>
        <w:rPr>
          <w:rFonts w:asciiTheme="minorHAnsi" w:eastAsiaTheme="minorEastAsia" w:hAnsiTheme="minorHAnsi"/>
          <w:noProof/>
          <w:sz w:val="22"/>
          <w:lang w:eastAsia="en-AU"/>
        </w:rPr>
      </w:pPr>
      <w:r>
        <w:rPr>
          <w:noProof/>
        </w:rPr>
        <w:t>9.1</w:t>
      </w:r>
      <w:r>
        <w:rPr>
          <w:rFonts w:asciiTheme="minorHAnsi" w:eastAsiaTheme="minorEastAsia" w:hAnsiTheme="minorHAnsi"/>
          <w:noProof/>
          <w:sz w:val="22"/>
          <w:lang w:eastAsia="en-AU"/>
        </w:rPr>
        <w:tab/>
      </w:r>
      <w:r>
        <w:rPr>
          <w:noProof/>
        </w:rPr>
        <w:t>Pre-emptive Offer</w:t>
      </w:r>
      <w:r>
        <w:rPr>
          <w:noProof/>
        </w:rPr>
        <w:tab/>
      </w:r>
      <w:r>
        <w:rPr>
          <w:noProof/>
        </w:rPr>
        <w:fldChar w:fldCharType="begin"/>
      </w:r>
      <w:r>
        <w:rPr>
          <w:noProof/>
        </w:rPr>
        <w:instrText xml:space="preserve"> PAGEREF _Toc485213335 \h </w:instrText>
      </w:r>
      <w:r>
        <w:rPr>
          <w:noProof/>
        </w:rPr>
      </w:r>
      <w:r>
        <w:rPr>
          <w:noProof/>
        </w:rPr>
        <w:fldChar w:fldCharType="separate"/>
      </w:r>
      <w:r>
        <w:rPr>
          <w:noProof/>
        </w:rPr>
        <w:t>12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9.2</w:t>
      </w:r>
      <w:r>
        <w:rPr>
          <w:rFonts w:asciiTheme="minorHAnsi" w:eastAsiaTheme="minorEastAsia" w:hAnsiTheme="minorHAnsi"/>
          <w:noProof/>
          <w:sz w:val="22"/>
          <w:lang w:eastAsia="en-AU"/>
        </w:rPr>
        <w:tab/>
      </w:r>
      <w:r>
        <w:rPr>
          <w:noProof/>
        </w:rPr>
        <w:t>Acceptance</w:t>
      </w:r>
      <w:r>
        <w:rPr>
          <w:noProof/>
        </w:rPr>
        <w:tab/>
      </w:r>
      <w:r>
        <w:rPr>
          <w:noProof/>
        </w:rPr>
        <w:fldChar w:fldCharType="begin"/>
      </w:r>
      <w:r>
        <w:rPr>
          <w:noProof/>
        </w:rPr>
        <w:instrText xml:space="preserve"> PAGEREF _Toc485213336 \h </w:instrText>
      </w:r>
      <w:r>
        <w:rPr>
          <w:noProof/>
        </w:rPr>
      </w:r>
      <w:r>
        <w:rPr>
          <w:noProof/>
        </w:rPr>
        <w:fldChar w:fldCharType="separate"/>
      </w:r>
      <w:r>
        <w:rPr>
          <w:noProof/>
        </w:rPr>
        <w:t>12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9.3</w:t>
      </w:r>
      <w:r>
        <w:rPr>
          <w:rFonts w:asciiTheme="minorHAnsi" w:eastAsiaTheme="minorEastAsia" w:hAnsiTheme="minorHAnsi"/>
          <w:noProof/>
          <w:sz w:val="22"/>
          <w:lang w:eastAsia="en-AU"/>
        </w:rPr>
        <w:tab/>
      </w:r>
      <w:r>
        <w:rPr>
          <w:noProof/>
        </w:rPr>
        <w:t>Allocation</w:t>
      </w:r>
      <w:r>
        <w:rPr>
          <w:noProof/>
        </w:rPr>
        <w:tab/>
      </w:r>
      <w:r>
        <w:rPr>
          <w:noProof/>
        </w:rPr>
        <w:fldChar w:fldCharType="begin"/>
      </w:r>
      <w:r>
        <w:rPr>
          <w:noProof/>
        </w:rPr>
        <w:instrText xml:space="preserve"> PAGEREF _Toc485213337 \h </w:instrText>
      </w:r>
      <w:r>
        <w:rPr>
          <w:noProof/>
        </w:rPr>
      </w:r>
      <w:r>
        <w:rPr>
          <w:noProof/>
        </w:rPr>
        <w:fldChar w:fldCharType="separate"/>
      </w:r>
      <w:r>
        <w:rPr>
          <w:noProof/>
        </w:rPr>
        <w:t>12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9.4</w:t>
      </w:r>
      <w:r>
        <w:rPr>
          <w:rFonts w:asciiTheme="minorHAnsi" w:eastAsiaTheme="minorEastAsia" w:hAnsiTheme="minorHAnsi"/>
          <w:noProof/>
          <w:sz w:val="22"/>
          <w:lang w:eastAsia="en-AU"/>
        </w:rPr>
        <w:tab/>
      </w:r>
      <w:r>
        <w:rPr>
          <w:noProof/>
        </w:rPr>
        <w:t>Transfer of Securities to third party</w:t>
      </w:r>
      <w:r>
        <w:rPr>
          <w:noProof/>
        </w:rPr>
        <w:tab/>
      </w:r>
      <w:r>
        <w:rPr>
          <w:noProof/>
        </w:rPr>
        <w:fldChar w:fldCharType="begin"/>
      </w:r>
      <w:r>
        <w:rPr>
          <w:noProof/>
        </w:rPr>
        <w:instrText xml:space="preserve"> PAGEREF _Toc485213338 \h </w:instrText>
      </w:r>
      <w:r>
        <w:rPr>
          <w:noProof/>
        </w:rPr>
      </w:r>
      <w:r>
        <w:rPr>
          <w:noProof/>
        </w:rPr>
        <w:fldChar w:fldCharType="separate"/>
      </w:r>
      <w:r>
        <w:rPr>
          <w:noProof/>
        </w:rPr>
        <w:t>13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9.5</w:t>
      </w:r>
      <w:r>
        <w:rPr>
          <w:rFonts w:asciiTheme="minorHAnsi" w:eastAsiaTheme="minorEastAsia" w:hAnsiTheme="minorHAnsi"/>
          <w:noProof/>
          <w:sz w:val="22"/>
          <w:lang w:eastAsia="en-AU"/>
        </w:rPr>
        <w:tab/>
      </w:r>
      <w:r>
        <w:rPr>
          <w:noProof/>
        </w:rPr>
        <w:t>Completion</w:t>
      </w:r>
      <w:r>
        <w:rPr>
          <w:noProof/>
        </w:rPr>
        <w:tab/>
      </w:r>
      <w:r>
        <w:rPr>
          <w:noProof/>
        </w:rPr>
        <w:fldChar w:fldCharType="begin"/>
      </w:r>
      <w:r>
        <w:rPr>
          <w:noProof/>
        </w:rPr>
        <w:instrText xml:space="preserve"> PAGEREF _Toc485213339 \h </w:instrText>
      </w:r>
      <w:r>
        <w:rPr>
          <w:noProof/>
        </w:rPr>
      </w:r>
      <w:r>
        <w:rPr>
          <w:noProof/>
        </w:rPr>
        <w:fldChar w:fldCharType="separate"/>
      </w:r>
      <w:r>
        <w:rPr>
          <w:noProof/>
        </w:rPr>
        <w:t>13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9.6</w:t>
      </w:r>
      <w:r>
        <w:rPr>
          <w:rFonts w:asciiTheme="minorHAnsi" w:eastAsiaTheme="minorEastAsia" w:hAnsiTheme="minorHAnsi"/>
          <w:noProof/>
          <w:sz w:val="22"/>
          <w:lang w:eastAsia="en-AU"/>
        </w:rPr>
        <w:tab/>
      </w:r>
      <w:r>
        <w:rPr>
          <w:noProof/>
        </w:rPr>
        <w:t>Tag Along Option</w:t>
      </w:r>
      <w:r>
        <w:rPr>
          <w:noProof/>
        </w:rPr>
        <w:tab/>
      </w:r>
      <w:r>
        <w:rPr>
          <w:noProof/>
        </w:rPr>
        <w:fldChar w:fldCharType="begin"/>
      </w:r>
      <w:r>
        <w:rPr>
          <w:noProof/>
        </w:rPr>
        <w:instrText xml:space="preserve"> PAGEREF _Toc485213340 \h </w:instrText>
      </w:r>
      <w:r>
        <w:rPr>
          <w:noProof/>
        </w:rPr>
      </w:r>
      <w:r>
        <w:rPr>
          <w:noProof/>
        </w:rPr>
        <w:fldChar w:fldCharType="separate"/>
      </w:r>
      <w:r>
        <w:rPr>
          <w:noProof/>
        </w:rPr>
        <w:t>13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9.7</w:t>
      </w:r>
      <w:r>
        <w:rPr>
          <w:rFonts w:asciiTheme="minorHAnsi" w:eastAsiaTheme="minorEastAsia" w:hAnsiTheme="minorHAnsi"/>
          <w:noProof/>
          <w:sz w:val="22"/>
          <w:lang w:eastAsia="en-AU"/>
        </w:rPr>
        <w:tab/>
      </w:r>
      <w:r>
        <w:rPr>
          <w:noProof/>
        </w:rPr>
        <w:t>Exercise of Tag Along Option</w:t>
      </w:r>
      <w:r>
        <w:rPr>
          <w:noProof/>
        </w:rPr>
        <w:tab/>
      </w:r>
      <w:r>
        <w:rPr>
          <w:noProof/>
        </w:rPr>
        <w:fldChar w:fldCharType="begin"/>
      </w:r>
      <w:r>
        <w:rPr>
          <w:noProof/>
        </w:rPr>
        <w:instrText xml:space="preserve"> PAGEREF _Toc485213341 \h </w:instrText>
      </w:r>
      <w:r>
        <w:rPr>
          <w:noProof/>
        </w:rPr>
      </w:r>
      <w:r>
        <w:rPr>
          <w:noProof/>
        </w:rPr>
        <w:fldChar w:fldCharType="separate"/>
      </w:r>
      <w:r>
        <w:rPr>
          <w:noProof/>
        </w:rPr>
        <w:t>13</w:t>
      </w:r>
      <w:r>
        <w:rPr>
          <w:noProof/>
        </w:rPr>
        <w:fldChar w:fldCharType="end"/>
      </w:r>
    </w:p>
    <w:p w:rsidR="00025445" w:rsidRDefault="006D4E7B">
      <w:pPr>
        <w:pStyle w:val="TOC1"/>
        <w:rPr>
          <w:rFonts w:asciiTheme="minorHAnsi" w:eastAsiaTheme="minorEastAsia" w:hAnsiTheme="minorHAnsi"/>
          <w:b w:val="0"/>
          <w:sz w:val="22"/>
          <w:lang w:eastAsia="en-AU"/>
        </w:rPr>
      </w:pPr>
      <w:r>
        <w:t>10.</w:t>
      </w:r>
      <w:r>
        <w:rPr>
          <w:rFonts w:asciiTheme="minorHAnsi" w:eastAsiaTheme="minorEastAsia" w:hAnsiTheme="minorHAnsi"/>
          <w:b w:val="0"/>
          <w:sz w:val="22"/>
          <w:lang w:eastAsia="en-AU"/>
        </w:rPr>
        <w:tab/>
      </w:r>
      <w:r>
        <w:t>Drag Along</w:t>
      </w:r>
      <w:r>
        <w:tab/>
      </w:r>
      <w:r>
        <w:fldChar w:fldCharType="begin"/>
      </w:r>
      <w:r>
        <w:instrText xml:space="preserve"> PAGEREF _Toc485213342 \h </w:instrText>
      </w:r>
      <w:r>
        <w:fldChar w:fldCharType="separate"/>
      </w:r>
      <w:r>
        <w:t>14</w:t>
      </w:r>
      <w:r>
        <w:fldChar w:fldCharType="end"/>
      </w:r>
    </w:p>
    <w:p w:rsidR="00025445" w:rsidRDefault="006D4E7B">
      <w:pPr>
        <w:pStyle w:val="TOC2"/>
        <w:rPr>
          <w:rFonts w:asciiTheme="minorHAnsi" w:eastAsiaTheme="minorEastAsia" w:hAnsiTheme="minorHAnsi"/>
          <w:noProof/>
          <w:sz w:val="22"/>
          <w:lang w:eastAsia="en-AU"/>
        </w:rPr>
      </w:pPr>
      <w:r>
        <w:rPr>
          <w:noProof/>
        </w:rPr>
        <w:t>10.1</w:t>
      </w:r>
      <w:r>
        <w:rPr>
          <w:rFonts w:asciiTheme="minorHAnsi" w:eastAsiaTheme="minorEastAsia" w:hAnsiTheme="minorHAnsi"/>
          <w:noProof/>
          <w:sz w:val="22"/>
          <w:lang w:eastAsia="en-AU"/>
        </w:rPr>
        <w:tab/>
      </w:r>
      <w:r>
        <w:rPr>
          <w:noProof/>
        </w:rPr>
        <w:t>Drag Along Notice</w:t>
      </w:r>
      <w:r>
        <w:rPr>
          <w:noProof/>
        </w:rPr>
        <w:tab/>
      </w:r>
      <w:r>
        <w:rPr>
          <w:noProof/>
        </w:rPr>
        <w:fldChar w:fldCharType="begin"/>
      </w:r>
      <w:r>
        <w:rPr>
          <w:noProof/>
        </w:rPr>
        <w:instrText xml:space="preserve"> PAGEREF _Toc485213343 \h </w:instrText>
      </w:r>
      <w:r>
        <w:rPr>
          <w:noProof/>
        </w:rPr>
      </w:r>
      <w:r>
        <w:rPr>
          <w:noProof/>
        </w:rPr>
        <w:fldChar w:fldCharType="separate"/>
      </w:r>
      <w:r>
        <w:rPr>
          <w:noProof/>
        </w:rPr>
        <w:t>14</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10.2</w:t>
      </w:r>
      <w:r>
        <w:rPr>
          <w:rFonts w:asciiTheme="minorHAnsi" w:eastAsiaTheme="minorEastAsia" w:hAnsiTheme="minorHAnsi"/>
          <w:noProof/>
          <w:sz w:val="22"/>
          <w:lang w:eastAsia="en-AU"/>
        </w:rPr>
        <w:tab/>
      </w:r>
      <w:r>
        <w:rPr>
          <w:noProof/>
        </w:rPr>
        <w:t>Terms of Offer</w:t>
      </w:r>
      <w:r>
        <w:rPr>
          <w:noProof/>
        </w:rPr>
        <w:tab/>
      </w:r>
      <w:r>
        <w:rPr>
          <w:noProof/>
        </w:rPr>
        <w:fldChar w:fldCharType="begin"/>
      </w:r>
      <w:r>
        <w:rPr>
          <w:noProof/>
        </w:rPr>
        <w:instrText xml:space="preserve"> PAGEREF _Toc485213344 \h </w:instrText>
      </w:r>
      <w:r>
        <w:rPr>
          <w:noProof/>
        </w:rPr>
      </w:r>
      <w:r>
        <w:rPr>
          <w:noProof/>
        </w:rPr>
        <w:fldChar w:fldCharType="separate"/>
      </w:r>
      <w:r>
        <w:rPr>
          <w:noProof/>
        </w:rPr>
        <w:t>14</w:t>
      </w:r>
      <w:r>
        <w:rPr>
          <w:noProof/>
        </w:rPr>
        <w:fldChar w:fldCharType="end"/>
      </w:r>
    </w:p>
    <w:p w:rsidR="00025445" w:rsidRDefault="006D4E7B">
      <w:pPr>
        <w:pStyle w:val="TOC1"/>
        <w:rPr>
          <w:rFonts w:asciiTheme="minorHAnsi" w:eastAsiaTheme="minorEastAsia" w:hAnsiTheme="minorHAnsi"/>
          <w:b w:val="0"/>
          <w:sz w:val="22"/>
          <w:lang w:eastAsia="en-AU"/>
        </w:rPr>
      </w:pPr>
      <w:r>
        <w:t>11.</w:t>
      </w:r>
      <w:r>
        <w:rPr>
          <w:rFonts w:asciiTheme="minorHAnsi" w:eastAsiaTheme="minorEastAsia" w:hAnsiTheme="minorHAnsi"/>
          <w:b w:val="0"/>
          <w:sz w:val="22"/>
          <w:lang w:eastAsia="en-AU"/>
        </w:rPr>
        <w:tab/>
      </w:r>
      <w:r>
        <w:t>Founder Vesting</w:t>
      </w:r>
      <w:r>
        <w:tab/>
      </w:r>
      <w:r>
        <w:fldChar w:fldCharType="begin"/>
      </w:r>
      <w:r>
        <w:instrText xml:space="preserve"> PAGEREF _Toc485213345 \h </w:instrText>
      </w:r>
      <w:r>
        <w:fldChar w:fldCharType="separate"/>
      </w:r>
      <w:r>
        <w:t>15</w:t>
      </w:r>
      <w:r>
        <w:fldChar w:fldCharType="end"/>
      </w:r>
    </w:p>
    <w:p w:rsidR="00025445" w:rsidRDefault="006D4E7B">
      <w:pPr>
        <w:pStyle w:val="TOC2"/>
        <w:rPr>
          <w:rFonts w:asciiTheme="minorHAnsi" w:eastAsiaTheme="minorEastAsia" w:hAnsiTheme="minorHAnsi"/>
          <w:noProof/>
          <w:sz w:val="22"/>
          <w:lang w:eastAsia="en-AU"/>
        </w:rPr>
      </w:pPr>
      <w:r>
        <w:rPr>
          <w:noProof/>
        </w:rPr>
        <w:t>11.1</w:t>
      </w:r>
      <w:r>
        <w:rPr>
          <w:rFonts w:asciiTheme="minorHAnsi" w:eastAsiaTheme="minorEastAsia" w:hAnsiTheme="minorHAnsi"/>
          <w:noProof/>
          <w:sz w:val="22"/>
          <w:lang w:eastAsia="en-AU"/>
        </w:rPr>
        <w:tab/>
      </w:r>
      <w:r>
        <w:rPr>
          <w:noProof/>
        </w:rPr>
        <w:t>Vesting of Founder Shares</w:t>
      </w:r>
      <w:r>
        <w:rPr>
          <w:noProof/>
        </w:rPr>
        <w:tab/>
      </w:r>
      <w:r>
        <w:rPr>
          <w:noProof/>
        </w:rPr>
        <w:fldChar w:fldCharType="begin"/>
      </w:r>
      <w:r>
        <w:rPr>
          <w:noProof/>
        </w:rPr>
        <w:instrText xml:space="preserve"> PAGEREF _Toc485213346 \h </w:instrText>
      </w:r>
      <w:r>
        <w:rPr>
          <w:noProof/>
        </w:rPr>
      </w:r>
      <w:r>
        <w:rPr>
          <w:noProof/>
        </w:rPr>
        <w:fldChar w:fldCharType="separate"/>
      </w:r>
      <w:r>
        <w:rPr>
          <w:noProof/>
        </w:rPr>
        <w:t>15</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11.2</w:t>
      </w:r>
      <w:r>
        <w:rPr>
          <w:rFonts w:asciiTheme="minorHAnsi" w:eastAsiaTheme="minorEastAsia" w:hAnsiTheme="minorHAnsi"/>
          <w:noProof/>
          <w:sz w:val="22"/>
          <w:lang w:eastAsia="en-AU"/>
        </w:rPr>
        <w:tab/>
      </w:r>
      <w:r>
        <w:rPr>
          <w:noProof/>
        </w:rPr>
        <w:t>Right to purchase Founder Shares</w:t>
      </w:r>
      <w:r>
        <w:rPr>
          <w:noProof/>
        </w:rPr>
        <w:tab/>
      </w:r>
      <w:r>
        <w:rPr>
          <w:noProof/>
        </w:rPr>
        <w:fldChar w:fldCharType="begin"/>
      </w:r>
      <w:r>
        <w:rPr>
          <w:noProof/>
        </w:rPr>
        <w:instrText xml:space="preserve"> PAGEREF _Toc485213347 \h</w:instrText>
      </w:r>
      <w:r>
        <w:rPr>
          <w:noProof/>
        </w:rPr>
        <w:instrText xml:space="preserve"> </w:instrText>
      </w:r>
      <w:r>
        <w:rPr>
          <w:noProof/>
        </w:rPr>
      </w:r>
      <w:r>
        <w:rPr>
          <w:noProof/>
        </w:rPr>
        <w:fldChar w:fldCharType="separate"/>
      </w:r>
      <w:r>
        <w:rPr>
          <w:noProof/>
        </w:rPr>
        <w:t>16</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11.3</w:t>
      </w:r>
      <w:r>
        <w:rPr>
          <w:rFonts w:asciiTheme="minorHAnsi" w:eastAsiaTheme="minorEastAsia" w:hAnsiTheme="minorHAnsi"/>
          <w:noProof/>
          <w:sz w:val="22"/>
          <w:lang w:eastAsia="en-AU"/>
        </w:rPr>
        <w:tab/>
      </w:r>
      <w:r>
        <w:rPr>
          <w:noProof/>
        </w:rPr>
        <w:t>Restriction</w:t>
      </w:r>
      <w:r>
        <w:rPr>
          <w:noProof/>
        </w:rPr>
        <w:tab/>
      </w:r>
      <w:r>
        <w:rPr>
          <w:noProof/>
        </w:rPr>
        <w:fldChar w:fldCharType="begin"/>
      </w:r>
      <w:r>
        <w:rPr>
          <w:noProof/>
        </w:rPr>
        <w:instrText xml:space="preserve"> PAGEREF _Toc485213348 \h </w:instrText>
      </w:r>
      <w:r>
        <w:rPr>
          <w:noProof/>
        </w:rPr>
      </w:r>
      <w:r>
        <w:rPr>
          <w:noProof/>
        </w:rPr>
        <w:fldChar w:fldCharType="separate"/>
      </w:r>
      <w:r>
        <w:rPr>
          <w:noProof/>
        </w:rPr>
        <w:t>16</w:t>
      </w:r>
      <w:r>
        <w:rPr>
          <w:noProof/>
        </w:rPr>
        <w:fldChar w:fldCharType="end"/>
      </w:r>
    </w:p>
    <w:p w:rsidR="00025445" w:rsidRDefault="006D4E7B">
      <w:pPr>
        <w:pStyle w:val="TOC1"/>
        <w:rPr>
          <w:rFonts w:asciiTheme="minorHAnsi" w:eastAsiaTheme="minorEastAsia" w:hAnsiTheme="minorHAnsi"/>
          <w:b w:val="0"/>
          <w:sz w:val="22"/>
          <w:lang w:eastAsia="en-AU"/>
        </w:rPr>
      </w:pPr>
      <w:r>
        <w:lastRenderedPageBreak/>
        <w:t>12.</w:t>
      </w:r>
      <w:r>
        <w:rPr>
          <w:rFonts w:asciiTheme="minorHAnsi" w:eastAsiaTheme="minorEastAsia" w:hAnsiTheme="minorHAnsi"/>
          <w:b w:val="0"/>
          <w:sz w:val="22"/>
          <w:lang w:eastAsia="en-AU"/>
        </w:rPr>
        <w:tab/>
      </w:r>
      <w:r>
        <w:t>Bad leaver arrangements</w:t>
      </w:r>
      <w:r>
        <w:tab/>
      </w:r>
      <w:r>
        <w:fldChar w:fldCharType="begin"/>
      </w:r>
      <w:r>
        <w:instrText xml:space="preserve"> PAGEREF _Toc485213349 \h </w:instrText>
      </w:r>
      <w:r>
        <w:fldChar w:fldCharType="separate"/>
      </w:r>
      <w:r>
        <w:t>16</w:t>
      </w:r>
      <w:r>
        <w:fldChar w:fldCharType="end"/>
      </w:r>
    </w:p>
    <w:p w:rsidR="00025445" w:rsidRDefault="006D4E7B">
      <w:pPr>
        <w:pStyle w:val="TOC2"/>
        <w:rPr>
          <w:rFonts w:asciiTheme="minorHAnsi" w:eastAsiaTheme="minorEastAsia" w:hAnsiTheme="minorHAnsi"/>
          <w:noProof/>
          <w:sz w:val="22"/>
          <w:lang w:eastAsia="en-AU"/>
        </w:rPr>
      </w:pPr>
      <w:r>
        <w:rPr>
          <w:noProof/>
        </w:rPr>
        <w:t>12.1</w:t>
      </w:r>
      <w:r>
        <w:rPr>
          <w:rFonts w:asciiTheme="minorHAnsi" w:eastAsiaTheme="minorEastAsia" w:hAnsiTheme="minorHAnsi"/>
          <w:noProof/>
          <w:sz w:val="22"/>
          <w:lang w:eastAsia="en-AU"/>
        </w:rPr>
        <w:tab/>
      </w:r>
      <w:r>
        <w:rPr>
          <w:noProof/>
        </w:rPr>
        <w:t>Bad Leaver</w:t>
      </w:r>
      <w:r>
        <w:rPr>
          <w:noProof/>
        </w:rPr>
        <w:tab/>
      </w:r>
      <w:r>
        <w:rPr>
          <w:noProof/>
        </w:rPr>
        <w:fldChar w:fldCharType="begin"/>
      </w:r>
      <w:r>
        <w:rPr>
          <w:noProof/>
        </w:rPr>
        <w:instrText xml:space="preserve"> PAGEREF _Toc485213350 \h </w:instrText>
      </w:r>
      <w:r>
        <w:rPr>
          <w:noProof/>
        </w:rPr>
      </w:r>
      <w:r>
        <w:rPr>
          <w:noProof/>
        </w:rPr>
        <w:fldChar w:fldCharType="separate"/>
      </w:r>
      <w:r>
        <w:rPr>
          <w:noProof/>
        </w:rPr>
        <w:t>16</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12.2</w:t>
      </w:r>
      <w:r>
        <w:rPr>
          <w:rFonts w:asciiTheme="minorHAnsi" w:eastAsiaTheme="minorEastAsia" w:hAnsiTheme="minorHAnsi"/>
          <w:noProof/>
          <w:sz w:val="22"/>
          <w:lang w:eastAsia="en-AU"/>
        </w:rPr>
        <w:tab/>
      </w:r>
      <w:r>
        <w:rPr>
          <w:noProof/>
        </w:rPr>
        <w:t>Price for Default Shares</w:t>
      </w:r>
      <w:r>
        <w:rPr>
          <w:noProof/>
        </w:rPr>
        <w:tab/>
      </w:r>
      <w:r>
        <w:rPr>
          <w:noProof/>
        </w:rPr>
        <w:fldChar w:fldCharType="begin"/>
      </w:r>
      <w:r>
        <w:rPr>
          <w:noProof/>
        </w:rPr>
        <w:instrText xml:space="preserve"> PAGEREF _Toc485213351 \h </w:instrText>
      </w:r>
      <w:r>
        <w:rPr>
          <w:noProof/>
        </w:rPr>
      </w:r>
      <w:r>
        <w:rPr>
          <w:noProof/>
        </w:rPr>
        <w:fldChar w:fldCharType="separate"/>
      </w:r>
      <w:r>
        <w:rPr>
          <w:noProof/>
        </w:rPr>
        <w:t>17</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12.3</w:t>
      </w:r>
      <w:r>
        <w:rPr>
          <w:rFonts w:asciiTheme="minorHAnsi" w:eastAsiaTheme="minorEastAsia" w:hAnsiTheme="minorHAnsi"/>
          <w:noProof/>
          <w:sz w:val="22"/>
          <w:lang w:eastAsia="en-AU"/>
        </w:rPr>
        <w:tab/>
      </w:r>
      <w:r>
        <w:rPr>
          <w:noProof/>
        </w:rPr>
        <w:t>Other remedies</w:t>
      </w:r>
      <w:r>
        <w:rPr>
          <w:noProof/>
        </w:rPr>
        <w:tab/>
      </w:r>
      <w:r>
        <w:rPr>
          <w:noProof/>
        </w:rPr>
        <w:fldChar w:fldCharType="begin"/>
      </w:r>
      <w:r>
        <w:rPr>
          <w:noProof/>
        </w:rPr>
        <w:instrText xml:space="preserve"> PAGEREF _Toc485213352 \h </w:instrText>
      </w:r>
      <w:r>
        <w:rPr>
          <w:noProof/>
        </w:rPr>
      </w:r>
      <w:r>
        <w:rPr>
          <w:noProof/>
        </w:rPr>
        <w:fldChar w:fldCharType="separate"/>
      </w:r>
      <w:r>
        <w:rPr>
          <w:noProof/>
        </w:rPr>
        <w:t>17</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12.4</w:t>
      </w:r>
      <w:r>
        <w:rPr>
          <w:rFonts w:asciiTheme="minorHAnsi" w:eastAsiaTheme="minorEastAsia" w:hAnsiTheme="minorHAnsi"/>
          <w:noProof/>
          <w:sz w:val="22"/>
          <w:lang w:eastAsia="en-AU"/>
        </w:rPr>
        <w:tab/>
      </w:r>
      <w:r>
        <w:rPr>
          <w:noProof/>
        </w:rPr>
        <w:t>Suspension</w:t>
      </w:r>
      <w:r>
        <w:rPr>
          <w:noProof/>
        </w:rPr>
        <w:tab/>
      </w:r>
      <w:r>
        <w:rPr>
          <w:noProof/>
        </w:rPr>
        <w:fldChar w:fldCharType="begin"/>
      </w:r>
      <w:r>
        <w:rPr>
          <w:noProof/>
        </w:rPr>
        <w:instrText xml:space="preserve"> PAGEREF _Toc485213353 \h </w:instrText>
      </w:r>
      <w:r>
        <w:rPr>
          <w:noProof/>
        </w:rPr>
      </w:r>
      <w:r>
        <w:rPr>
          <w:noProof/>
        </w:rPr>
        <w:fldChar w:fldCharType="separate"/>
      </w:r>
      <w:r>
        <w:rPr>
          <w:noProof/>
        </w:rPr>
        <w:t>17</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12.5</w:t>
      </w:r>
      <w:r>
        <w:rPr>
          <w:rFonts w:asciiTheme="minorHAnsi" w:eastAsiaTheme="minorEastAsia" w:hAnsiTheme="minorHAnsi"/>
          <w:noProof/>
          <w:sz w:val="22"/>
          <w:lang w:eastAsia="en-AU"/>
        </w:rPr>
        <w:tab/>
      </w:r>
      <w:r>
        <w:rPr>
          <w:noProof/>
        </w:rPr>
        <w:t>Fair Market Value</w:t>
      </w:r>
      <w:r>
        <w:rPr>
          <w:noProof/>
        </w:rPr>
        <w:tab/>
      </w:r>
      <w:r>
        <w:rPr>
          <w:noProof/>
        </w:rPr>
        <w:fldChar w:fldCharType="begin"/>
      </w:r>
      <w:r>
        <w:rPr>
          <w:noProof/>
        </w:rPr>
        <w:instrText xml:space="preserve"> PAGEREF _Toc485213354 \h </w:instrText>
      </w:r>
      <w:r>
        <w:rPr>
          <w:noProof/>
        </w:rPr>
      </w:r>
      <w:r>
        <w:rPr>
          <w:noProof/>
        </w:rPr>
        <w:fldChar w:fldCharType="separate"/>
      </w:r>
      <w:r>
        <w:rPr>
          <w:noProof/>
        </w:rPr>
        <w:t>18</w:t>
      </w:r>
      <w:r>
        <w:rPr>
          <w:noProof/>
        </w:rPr>
        <w:fldChar w:fldCharType="end"/>
      </w:r>
    </w:p>
    <w:p w:rsidR="00025445" w:rsidRDefault="006D4E7B">
      <w:pPr>
        <w:pStyle w:val="TOC1"/>
        <w:rPr>
          <w:rFonts w:asciiTheme="minorHAnsi" w:eastAsiaTheme="minorEastAsia" w:hAnsiTheme="minorHAnsi"/>
          <w:b w:val="0"/>
          <w:sz w:val="22"/>
          <w:lang w:eastAsia="en-AU"/>
        </w:rPr>
      </w:pPr>
      <w:r>
        <w:t>13.</w:t>
      </w:r>
      <w:r>
        <w:rPr>
          <w:rFonts w:asciiTheme="minorHAnsi" w:eastAsiaTheme="minorEastAsia" w:hAnsiTheme="minorHAnsi"/>
          <w:b w:val="0"/>
          <w:sz w:val="22"/>
          <w:lang w:eastAsia="en-AU"/>
        </w:rPr>
        <w:tab/>
      </w:r>
      <w:r>
        <w:t>Non-competition</w:t>
      </w:r>
      <w:r>
        <w:tab/>
      </w:r>
      <w:r>
        <w:fldChar w:fldCharType="begin"/>
      </w:r>
      <w:r>
        <w:instrText xml:space="preserve"> PAGEREF _Toc485213355 \h </w:instrText>
      </w:r>
      <w:r>
        <w:fldChar w:fldCharType="separate"/>
      </w:r>
      <w:r>
        <w:t>18</w:t>
      </w:r>
      <w:r>
        <w:fldChar w:fldCharType="end"/>
      </w:r>
    </w:p>
    <w:p w:rsidR="00025445" w:rsidRDefault="006D4E7B">
      <w:pPr>
        <w:pStyle w:val="TOC2"/>
        <w:rPr>
          <w:rFonts w:asciiTheme="minorHAnsi" w:eastAsiaTheme="minorEastAsia" w:hAnsiTheme="minorHAnsi"/>
          <w:noProof/>
          <w:sz w:val="22"/>
          <w:lang w:eastAsia="en-AU"/>
        </w:rPr>
      </w:pPr>
      <w:r>
        <w:rPr>
          <w:noProof/>
        </w:rPr>
        <w:t>13.1</w:t>
      </w:r>
      <w:r>
        <w:rPr>
          <w:rFonts w:asciiTheme="minorHAnsi" w:eastAsiaTheme="minorEastAsia" w:hAnsiTheme="minorHAnsi"/>
          <w:noProof/>
          <w:sz w:val="22"/>
          <w:lang w:eastAsia="en-AU"/>
        </w:rPr>
        <w:tab/>
      </w:r>
      <w:r>
        <w:rPr>
          <w:noProof/>
        </w:rPr>
        <w:t>Enforceability and severance</w:t>
      </w:r>
      <w:r>
        <w:rPr>
          <w:noProof/>
        </w:rPr>
        <w:tab/>
      </w:r>
      <w:r>
        <w:rPr>
          <w:noProof/>
        </w:rPr>
        <w:fldChar w:fldCharType="begin"/>
      </w:r>
      <w:r>
        <w:rPr>
          <w:noProof/>
        </w:rPr>
        <w:instrText xml:space="preserve"> PAGEREF _Toc485213356 \h </w:instrText>
      </w:r>
      <w:r>
        <w:rPr>
          <w:noProof/>
        </w:rPr>
      </w:r>
      <w:r>
        <w:rPr>
          <w:noProof/>
        </w:rPr>
        <w:fldChar w:fldCharType="separate"/>
      </w:r>
      <w:r>
        <w:rPr>
          <w:noProof/>
        </w:rPr>
        <w:t>18</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13.2</w:t>
      </w:r>
      <w:r>
        <w:rPr>
          <w:rFonts w:asciiTheme="minorHAnsi" w:eastAsiaTheme="minorEastAsia" w:hAnsiTheme="minorHAnsi"/>
          <w:noProof/>
          <w:sz w:val="22"/>
          <w:lang w:eastAsia="en-AU"/>
        </w:rPr>
        <w:tab/>
      </w:r>
      <w:r>
        <w:rPr>
          <w:noProof/>
        </w:rPr>
        <w:t>Prohibited activities</w:t>
      </w:r>
      <w:r>
        <w:rPr>
          <w:noProof/>
        </w:rPr>
        <w:tab/>
      </w:r>
      <w:r>
        <w:rPr>
          <w:noProof/>
        </w:rPr>
        <w:fldChar w:fldCharType="begin"/>
      </w:r>
      <w:r>
        <w:rPr>
          <w:noProof/>
        </w:rPr>
        <w:instrText xml:space="preserve"> PAGEREF _Toc485213357 \h </w:instrText>
      </w:r>
      <w:r>
        <w:rPr>
          <w:noProof/>
        </w:rPr>
      </w:r>
      <w:r>
        <w:rPr>
          <w:noProof/>
        </w:rPr>
        <w:fldChar w:fldCharType="separate"/>
      </w:r>
      <w:r>
        <w:rPr>
          <w:noProof/>
        </w:rPr>
        <w:t>18</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13.3</w:t>
      </w:r>
      <w:r>
        <w:rPr>
          <w:rFonts w:asciiTheme="minorHAnsi" w:eastAsiaTheme="minorEastAsia" w:hAnsiTheme="minorHAnsi"/>
          <w:noProof/>
          <w:sz w:val="22"/>
          <w:lang w:eastAsia="en-AU"/>
        </w:rPr>
        <w:tab/>
      </w:r>
      <w:r>
        <w:rPr>
          <w:noProof/>
        </w:rPr>
        <w:t>Duration of prohibition</w:t>
      </w:r>
      <w:r>
        <w:rPr>
          <w:noProof/>
        </w:rPr>
        <w:tab/>
      </w:r>
      <w:r>
        <w:rPr>
          <w:noProof/>
        </w:rPr>
        <w:fldChar w:fldCharType="begin"/>
      </w:r>
      <w:r>
        <w:rPr>
          <w:noProof/>
        </w:rPr>
        <w:instrText xml:space="preserve"> PAGEREF _Toc485213358 \h </w:instrText>
      </w:r>
      <w:r>
        <w:rPr>
          <w:noProof/>
        </w:rPr>
      </w:r>
      <w:r>
        <w:rPr>
          <w:noProof/>
        </w:rPr>
        <w:fldChar w:fldCharType="separate"/>
      </w:r>
      <w:r>
        <w:rPr>
          <w:noProof/>
        </w:rPr>
        <w:t>19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13.4</w:t>
      </w:r>
      <w:r>
        <w:rPr>
          <w:rFonts w:asciiTheme="minorHAnsi" w:eastAsiaTheme="minorEastAsia" w:hAnsiTheme="minorHAnsi"/>
          <w:noProof/>
          <w:sz w:val="22"/>
          <w:lang w:eastAsia="en-AU"/>
        </w:rPr>
        <w:tab/>
      </w:r>
      <w:r>
        <w:rPr>
          <w:noProof/>
        </w:rPr>
        <w:t>Geographic application of prohibition</w:t>
      </w:r>
      <w:r>
        <w:rPr>
          <w:noProof/>
        </w:rPr>
        <w:tab/>
      </w:r>
      <w:r>
        <w:rPr>
          <w:noProof/>
        </w:rPr>
        <w:fldChar w:fldCharType="begin"/>
      </w:r>
      <w:r>
        <w:rPr>
          <w:noProof/>
        </w:rPr>
        <w:instrText xml:space="preserve"> PAGEREF _Toc485213359</w:instrText>
      </w:r>
      <w:r>
        <w:rPr>
          <w:noProof/>
        </w:rPr>
        <w:instrText xml:space="preserve"> \h </w:instrText>
      </w:r>
      <w:r>
        <w:rPr>
          <w:noProof/>
        </w:rPr>
      </w:r>
      <w:r>
        <w:rPr>
          <w:noProof/>
        </w:rPr>
        <w:fldChar w:fldCharType="separate"/>
      </w:r>
      <w:r>
        <w:rPr>
          <w:noProof/>
        </w:rPr>
        <w:t>19</w:t>
      </w:r>
      <w:r>
        <w:rPr>
          <w:noProof/>
        </w:rPr>
        <w:fldChar w:fldCharType="end"/>
      </w:r>
    </w:p>
    <w:p w:rsidR="00025445" w:rsidRDefault="006D4E7B">
      <w:pPr>
        <w:pStyle w:val="TOC1"/>
        <w:rPr>
          <w:rFonts w:asciiTheme="minorHAnsi" w:eastAsiaTheme="minorEastAsia" w:hAnsiTheme="minorHAnsi"/>
          <w:b w:val="0"/>
          <w:sz w:val="22"/>
          <w:lang w:eastAsia="en-AU"/>
        </w:rPr>
      </w:pPr>
      <w:r>
        <w:t>14.</w:t>
      </w:r>
      <w:r>
        <w:rPr>
          <w:rFonts w:asciiTheme="minorHAnsi" w:eastAsiaTheme="minorEastAsia" w:hAnsiTheme="minorHAnsi"/>
          <w:b w:val="0"/>
          <w:sz w:val="22"/>
          <w:lang w:eastAsia="en-AU"/>
        </w:rPr>
        <w:tab/>
      </w:r>
      <w:r>
        <w:t>Confidentiality</w:t>
      </w:r>
      <w:r>
        <w:tab/>
      </w:r>
      <w:r>
        <w:fldChar w:fldCharType="begin"/>
      </w:r>
      <w:r>
        <w:instrText xml:space="preserve"> PAGEREF _Toc485213360 \h </w:instrText>
      </w:r>
      <w:r>
        <w:fldChar w:fldCharType="separate"/>
      </w:r>
      <w:r>
        <w:t>19</w:t>
      </w:r>
      <w:r>
        <w:fldChar w:fldCharType="end"/>
      </w:r>
    </w:p>
    <w:p w:rsidR="00025445" w:rsidRDefault="006D4E7B">
      <w:pPr>
        <w:pStyle w:val="TOC2"/>
        <w:rPr>
          <w:rFonts w:asciiTheme="minorHAnsi" w:eastAsiaTheme="minorEastAsia" w:hAnsiTheme="minorHAnsi"/>
          <w:noProof/>
          <w:sz w:val="22"/>
          <w:lang w:eastAsia="en-AU"/>
        </w:rPr>
      </w:pPr>
      <w:r>
        <w:rPr>
          <w:noProof/>
        </w:rPr>
        <w:t>14.1</w:t>
      </w:r>
      <w:r>
        <w:rPr>
          <w:rFonts w:asciiTheme="minorHAnsi" w:eastAsiaTheme="minorEastAsia" w:hAnsiTheme="minorHAnsi"/>
          <w:noProof/>
          <w:sz w:val="22"/>
          <w:lang w:eastAsia="en-AU"/>
        </w:rPr>
        <w:tab/>
      </w:r>
      <w:r>
        <w:rPr>
          <w:noProof/>
        </w:rPr>
        <w:t>Confidentiality</w:t>
      </w:r>
      <w:r>
        <w:rPr>
          <w:noProof/>
        </w:rPr>
        <w:tab/>
      </w:r>
      <w:r>
        <w:rPr>
          <w:noProof/>
        </w:rPr>
        <w:fldChar w:fldCharType="begin"/>
      </w:r>
      <w:r>
        <w:rPr>
          <w:noProof/>
        </w:rPr>
        <w:instrText xml:space="preserve"> PAGEREF _Toc485213361 \h </w:instrText>
      </w:r>
      <w:r>
        <w:rPr>
          <w:noProof/>
        </w:rPr>
      </w:r>
      <w:r>
        <w:rPr>
          <w:noProof/>
        </w:rPr>
        <w:fldChar w:fldCharType="separate"/>
      </w:r>
      <w:r>
        <w:rPr>
          <w:noProof/>
        </w:rPr>
        <w:t>19</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14.2</w:t>
      </w:r>
      <w:r>
        <w:rPr>
          <w:rFonts w:asciiTheme="minorHAnsi" w:eastAsiaTheme="minorEastAsia" w:hAnsiTheme="minorHAnsi"/>
          <w:noProof/>
          <w:sz w:val="22"/>
          <w:lang w:eastAsia="en-AU"/>
        </w:rPr>
        <w:tab/>
      </w:r>
      <w:r>
        <w:rPr>
          <w:noProof/>
        </w:rPr>
        <w:t>Permitted disclosure</w:t>
      </w:r>
      <w:r>
        <w:rPr>
          <w:noProof/>
        </w:rPr>
        <w:tab/>
      </w:r>
      <w:r>
        <w:rPr>
          <w:noProof/>
        </w:rPr>
        <w:fldChar w:fldCharType="begin"/>
      </w:r>
      <w:r>
        <w:rPr>
          <w:noProof/>
        </w:rPr>
        <w:instrText xml:space="preserve"> PAGEREF _Toc485213362 \h </w:instrText>
      </w:r>
      <w:r>
        <w:rPr>
          <w:noProof/>
        </w:rPr>
      </w:r>
      <w:r>
        <w:rPr>
          <w:noProof/>
        </w:rPr>
        <w:fldChar w:fldCharType="separate"/>
      </w:r>
      <w:r>
        <w:rPr>
          <w:noProof/>
        </w:rPr>
        <w:t>20</w:t>
      </w:r>
      <w:r>
        <w:rPr>
          <w:noProof/>
        </w:rPr>
        <w:fldChar w:fldCharType="end"/>
      </w:r>
    </w:p>
    <w:p w:rsidR="00025445" w:rsidRDefault="006D4E7B">
      <w:pPr>
        <w:pStyle w:val="TOC1"/>
        <w:rPr>
          <w:rFonts w:asciiTheme="minorHAnsi" w:eastAsiaTheme="minorEastAsia" w:hAnsiTheme="minorHAnsi"/>
          <w:b w:val="0"/>
          <w:sz w:val="22"/>
          <w:lang w:eastAsia="en-AU"/>
        </w:rPr>
      </w:pPr>
      <w:r>
        <w:t>15.</w:t>
      </w:r>
      <w:r>
        <w:rPr>
          <w:rFonts w:asciiTheme="minorHAnsi" w:eastAsiaTheme="minorEastAsia" w:hAnsiTheme="minorHAnsi"/>
          <w:b w:val="0"/>
          <w:sz w:val="22"/>
          <w:lang w:eastAsia="en-AU"/>
        </w:rPr>
        <w:tab/>
      </w:r>
      <w:r>
        <w:t>Dispute resolution</w:t>
      </w:r>
      <w:r>
        <w:tab/>
      </w:r>
      <w:r>
        <w:fldChar w:fldCharType="begin"/>
      </w:r>
      <w:r>
        <w:instrText xml:space="preserve"> PAGEREF _Toc485213363 \h </w:instrText>
      </w:r>
      <w:r>
        <w:fldChar w:fldCharType="separate"/>
      </w:r>
      <w:r>
        <w:t>20</w:t>
      </w:r>
      <w:r>
        <w:fldChar w:fldCharType="end"/>
      </w:r>
    </w:p>
    <w:p w:rsidR="00025445" w:rsidRDefault="006D4E7B">
      <w:pPr>
        <w:pStyle w:val="TOC2"/>
        <w:rPr>
          <w:rFonts w:asciiTheme="minorHAnsi" w:eastAsiaTheme="minorEastAsia" w:hAnsiTheme="minorHAnsi"/>
          <w:noProof/>
          <w:sz w:val="22"/>
          <w:lang w:eastAsia="en-AU"/>
        </w:rPr>
      </w:pPr>
      <w:r>
        <w:rPr>
          <w:noProof/>
        </w:rPr>
        <w:t>15.1</w:t>
      </w:r>
      <w:r>
        <w:rPr>
          <w:rFonts w:asciiTheme="minorHAnsi" w:eastAsiaTheme="minorEastAsia" w:hAnsiTheme="minorHAnsi"/>
          <w:noProof/>
          <w:sz w:val="22"/>
          <w:lang w:eastAsia="en-AU"/>
        </w:rPr>
        <w:tab/>
      </w:r>
      <w:r>
        <w:rPr>
          <w:noProof/>
        </w:rPr>
        <w:t>Disputes</w:t>
      </w:r>
      <w:r>
        <w:rPr>
          <w:noProof/>
        </w:rPr>
        <w:tab/>
      </w:r>
      <w:r>
        <w:rPr>
          <w:noProof/>
        </w:rPr>
        <w:fldChar w:fldCharType="begin"/>
      </w:r>
      <w:r>
        <w:rPr>
          <w:noProof/>
        </w:rPr>
        <w:instrText xml:space="preserve"> PAGEREF _Toc485213364 \h </w:instrText>
      </w:r>
      <w:r>
        <w:rPr>
          <w:noProof/>
        </w:rPr>
      </w:r>
      <w:r>
        <w:rPr>
          <w:noProof/>
        </w:rPr>
        <w:fldChar w:fldCharType="separate"/>
      </w:r>
      <w:r>
        <w:rPr>
          <w:noProof/>
        </w:rPr>
        <w:t>20</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15.2</w:t>
      </w:r>
      <w:r>
        <w:rPr>
          <w:rFonts w:asciiTheme="minorHAnsi" w:eastAsiaTheme="minorEastAsia" w:hAnsiTheme="minorHAnsi"/>
          <w:noProof/>
          <w:sz w:val="22"/>
          <w:lang w:eastAsia="en-AU"/>
        </w:rPr>
        <w:tab/>
      </w:r>
      <w:r>
        <w:rPr>
          <w:noProof/>
        </w:rPr>
        <w:t>Notice of dispute</w:t>
      </w:r>
      <w:r>
        <w:rPr>
          <w:noProof/>
        </w:rPr>
        <w:tab/>
      </w:r>
      <w:r>
        <w:rPr>
          <w:noProof/>
        </w:rPr>
        <w:fldChar w:fldCharType="begin"/>
      </w:r>
      <w:r>
        <w:rPr>
          <w:noProof/>
        </w:rPr>
        <w:instrText xml:space="preserve"> PAGEREF _Toc485213365 \h </w:instrText>
      </w:r>
      <w:r>
        <w:rPr>
          <w:noProof/>
        </w:rPr>
      </w:r>
      <w:r>
        <w:rPr>
          <w:noProof/>
        </w:rPr>
        <w:fldChar w:fldCharType="separate"/>
      </w:r>
      <w:r>
        <w:rPr>
          <w:noProof/>
        </w:rPr>
        <w:t>20</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15.3</w:t>
      </w:r>
      <w:r>
        <w:rPr>
          <w:rFonts w:asciiTheme="minorHAnsi" w:eastAsiaTheme="minorEastAsia" w:hAnsiTheme="minorHAnsi"/>
          <w:noProof/>
          <w:sz w:val="22"/>
          <w:lang w:eastAsia="en-AU"/>
        </w:rPr>
        <w:tab/>
      </w:r>
      <w:r>
        <w:rPr>
          <w:noProof/>
        </w:rPr>
        <w:t>Resolution</w:t>
      </w:r>
      <w:r>
        <w:rPr>
          <w:noProof/>
        </w:rPr>
        <w:tab/>
      </w:r>
      <w:r>
        <w:rPr>
          <w:noProof/>
        </w:rPr>
        <w:fldChar w:fldCharType="begin"/>
      </w:r>
      <w:r>
        <w:rPr>
          <w:noProof/>
        </w:rPr>
        <w:instrText xml:space="preserve"> PAGEREF _Toc485213366 \h </w:instrText>
      </w:r>
      <w:r>
        <w:rPr>
          <w:noProof/>
        </w:rPr>
      </w:r>
      <w:r>
        <w:rPr>
          <w:noProof/>
        </w:rPr>
        <w:fldChar w:fldCharType="separate"/>
      </w:r>
      <w:r>
        <w:rPr>
          <w:noProof/>
        </w:rPr>
        <w:t>21</w:t>
      </w:r>
      <w:r>
        <w:rPr>
          <w:noProof/>
        </w:rPr>
        <w:fldChar w:fldCharType="end"/>
      </w:r>
    </w:p>
    <w:p w:rsidR="00025445" w:rsidRDefault="006D4E7B">
      <w:pPr>
        <w:pStyle w:val="TOC1"/>
        <w:rPr>
          <w:rFonts w:asciiTheme="minorHAnsi" w:eastAsiaTheme="minorEastAsia" w:hAnsiTheme="minorHAnsi"/>
          <w:b w:val="0"/>
          <w:sz w:val="22"/>
          <w:lang w:eastAsia="en-AU"/>
        </w:rPr>
      </w:pPr>
      <w:r>
        <w:t>16.</w:t>
      </w:r>
      <w:r>
        <w:rPr>
          <w:rFonts w:asciiTheme="minorHAnsi" w:eastAsiaTheme="minorEastAsia" w:hAnsiTheme="minorHAnsi"/>
          <w:b w:val="0"/>
          <w:sz w:val="22"/>
          <w:lang w:eastAsia="en-AU"/>
        </w:rPr>
        <w:tab/>
      </w:r>
      <w:r>
        <w:t>Termination</w:t>
      </w:r>
      <w:r>
        <w:tab/>
      </w:r>
      <w:r>
        <w:fldChar w:fldCharType="begin"/>
      </w:r>
      <w:r>
        <w:instrText xml:space="preserve"> PAGEREF _Toc485213367 \h </w:instrText>
      </w:r>
      <w:r>
        <w:fldChar w:fldCharType="separate"/>
      </w:r>
      <w:r>
        <w:t>21</w:t>
      </w:r>
      <w:r>
        <w:fldChar w:fldCharType="end"/>
      </w:r>
    </w:p>
    <w:p w:rsidR="00025445" w:rsidRDefault="006D4E7B">
      <w:pPr>
        <w:pStyle w:val="TOC2"/>
        <w:rPr>
          <w:rFonts w:asciiTheme="minorHAnsi" w:eastAsiaTheme="minorEastAsia" w:hAnsiTheme="minorHAnsi"/>
          <w:noProof/>
          <w:sz w:val="22"/>
          <w:lang w:eastAsia="en-AU"/>
        </w:rPr>
      </w:pPr>
      <w:r>
        <w:rPr>
          <w:noProof/>
        </w:rPr>
        <w:t>16.1</w:t>
      </w:r>
      <w:r>
        <w:rPr>
          <w:rFonts w:asciiTheme="minorHAnsi" w:eastAsiaTheme="minorEastAsia" w:hAnsiTheme="minorHAnsi"/>
          <w:noProof/>
          <w:sz w:val="22"/>
          <w:lang w:eastAsia="en-AU"/>
        </w:rPr>
        <w:tab/>
      </w:r>
      <w:r>
        <w:rPr>
          <w:noProof/>
        </w:rPr>
        <w:t>Termination events</w:t>
      </w:r>
      <w:r>
        <w:rPr>
          <w:noProof/>
        </w:rPr>
        <w:tab/>
      </w:r>
      <w:r>
        <w:rPr>
          <w:noProof/>
        </w:rPr>
        <w:fldChar w:fldCharType="begin"/>
      </w:r>
      <w:r>
        <w:rPr>
          <w:noProof/>
        </w:rPr>
        <w:instrText xml:space="preserve"> PAGEREF _Toc485213368 \h </w:instrText>
      </w:r>
      <w:r>
        <w:rPr>
          <w:noProof/>
        </w:rPr>
      </w:r>
      <w:r>
        <w:rPr>
          <w:noProof/>
        </w:rPr>
        <w:fldChar w:fldCharType="separate"/>
      </w:r>
      <w:r>
        <w:rPr>
          <w:noProof/>
        </w:rPr>
        <w:t>21</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16.2</w:t>
      </w:r>
      <w:r>
        <w:rPr>
          <w:rFonts w:asciiTheme="minorHAnsi" w:eastAsiaTheme="minorEastAsia" w:hAnsiTheme="minorHAnsi"/>
          <w:noProof/>
          <w:sz w:val="22"/>
          <w:lang w:eastAsia="en-AU"/>
        </w:rPr>
        <w:tab/>
      </w:r>
      <w:r>
        <w:rPr>
          <w:noProof/>
        </w:rPr>
        <w:t>Accrued rights</w:t>
      </w:r>
      <w:r>
        <w:rPr>
          <w:noProof/>
        </w:rPr>
        <w:tab/>
      </w:r>
      <w:r>
        <w:rPr>
          <w:noProof/>
        </w:rPr>
        <w:fldChar w:fldCharType="begin"/>
      </w:r>
      <w:r>
        <w:rPr>
          <w:noProof/>
        </w:rPr>
        <w:instrText xml:space="preserve"> PAGEREF _Toc485213369 \h </w:instrText>
      </w:r>
      <w:r>
        <w:rPr>
          <w:noProof/>
        </w:rPr>
      </w:r>
      <w:r>
        <w:rPr>
          <w:noProof/>
        </w:rPr>
        <w:fldChar w:fldCharType="separate"/>
      </w:r>
      <w:r>
        <w:rPr>
          <w:noProof/>
        </w:rPr>
        <w:t>21</w:t>
      </w:r>
      <w:r>
        <w:rPr>
          <w:noProof/>
        </w:rPr>
        <w:fldChar w:fldCharType="end"/>
      </w:r>
    </w:p>
    <w:p w:rsidR="00025445" w:rsidRDefault="006D4E7B">
      <w:pPr>
        <w:pStyle w:val="TOC1"/>
        <w:rPr>
          <w:rFonts w:asciiTheme="minorHAnsi" w:eastAsiaTheme="minorEastAsia" w:hAnsiTheme="minorHAnsi"/>
          <w:b w:val="0"/>
          <w:sz w:val="22"/>
          <w:lang w:eastAsia="en-AU"/>
        </w:rPr>
      </w:pPr>
      <w:r>
        <w:t>17.</w:t>
      </w:r>
      <w:r>
        <w:rPr>
          <w:rFonts w:asciiTheme="minorHAnsi" w:eastAsiaTheme="minorEastAsia" w:hAnsiTheme="minorHAnsi"/>
          <w:b w:val="0"/>
          <w:sz w:val="22"/>
          <w:lang w:eastAsia="en-AU"/>
        </w:rPr>
        <w:tab/>
      </w:r>
      <w:r>
        <w:t>Goods and Services Tax</w:t>
      </w:r>
      <w:r>
        <w:tab/>
      </w:r>
      <w:r>
        <w:fldChar w:fldCharType="begin"/>
      </w:r>
      <w:r>
        <w:instrText xml:space="preserve"> PAGEREF _Toc485213370 \h </w:instrText>
      </w:r>
      <w:r>
        <w:fldChar w:fldCharType="separate"/>
      </w:r>
      <w:r>
        <w:t>22</w:t>
      </w:r>
      <w:r>
        <w:fldChar w:fldCharType="end"/>
      </w:r>
    </w:p>
    <w:p w:rsidR="00025445" w:rsidRDefault="006D4E7B">
      <w:pPr>
        <w:pStyle w:val="TOC2"/>
        <w:rPr>
          <w:rFonts w:asciiTheme="minorHAnsi" w:eastAsiaTheme="minorEastAsia" w:hAnsiTheme="minorHAnsi"/>
          <w:noProof/>
          <w:sz w:val="22"/>
          <w:lang w:eastAsia="en-AU"/>
        </w:rPr>
      </w:pPr>
      <w:r>
        <w:rPr>
          <w:noProof/>
        </w:rPr>
        <w:t>17.1</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_Toc485213371 \h </w:instrText>
      </w:r>
      <w:r>
        <w:rPr>
          <w:noProof/>
        </w:rPr>
      </w:r>
      <w:r>
        <w:rPr>
          <w:noProof/>
        </w:rPr>
        <w:fldChar w:fldCharType="separate"/>
      </w:r>
      <w:r>
        <w:rPr>
          <w:noProof/>
        </w:rPr>
        <w:t>22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17.2</w:t>
      </w:r>
      <w:r>
        <w:rPr>
          <w:rFonts w:asciiTheme="minorHAnsi" w:eastAsiaTheme="minorEastAsia" w:hAnsiTheme="minorHAnsi"/>
          <w:noProof/>
          <w:sz w:val="22"/>
          <w:lang w:eastAsia="en-AU"/>
        </w:rPr>
        <w:tab/>
      </w:r>
      <w:r>
        <w:rPr>
          <w:noProof/>
        </w:rPr>
        <w:t>General exclusion of GST</w:t>
      </w:r>
      <w:r>
        <w:rPr>
          <w:noProof/>
        </w:rPr>
        <w:tab/>
      </w:r>
      <w:r>
        <w:rPr>
          <w:noProof/>
        </w:rPr>
        <w:fldChar w:fldCharType="begin"/>
      </w:r>
      <w:r>
        <w:rPr>
          <w:noProof/>
        </w:rPr>
        <w:instrText xml:space="preserve"> PAGEREF _Toc485213372 \h </w:instrText>
      </w:r>
      <w:r>
        <w:rPr>
          <w:noProof/>
        </w:rPr>
      </w:r>
      <w:r>
        <w:rPr>
          <w:noProof/>
        </w:rPr>
        <w:fldChar w:fldCharType="separate"/>
      </w:r>
      <w:r>
        <w:rPr>
          <w:noProof/>
        </w:rPr>
        <w:t>22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17.3</w:t>
      </w:r>
      <w:r>
        <w:rPr>
          <w:rFonts w:asciiTheme="minorHAnsi" w:eastAsiaTheme="minorEastAsia" w:hAnsiTheme="minorHAnsi"/>
          <w:noProof/>
          <w:sz w:val="22"/>
          <w:lang w:eastAsia="en-AU"/>
        </w:rPr>
        <w:tab/>
      </w:r>
      <w:r>
        <w:rPr>
          <w:noProof/>
        </w:rPr>
        <w:t>Gross-up of Taxable Supply</w:t>
      </w:r>
      <w:r>
        <w:rPr>
          <w:noProof/>
        </w:rPr>
        <w:tab/>
      </w:r>
      <w:r>
        <w:rPr>
          <w:noProof/>
        </w:rPr>
        <w:fldChar w:fldCharType="begin"/>
      </w:r>
      <w:r>
        <w:rPr>
          <w:noProof/>
        </w:rPr>
        <w:instrText xml:space="preserve"> PAGEREF _Toc485213373 \h </w:instrText>
      </w:r>
      <w:r>
        <w:rPr>
          <w:noProof/>
        </w:rPr>
      </w:r>
      <w:r>
        <w:rPr>
          <w:noProof/>
        </w:rPr>
        <w:fldChar w:fldCharType="separate"/>
      </w:r>
      <w:r>
        <w:rPr>
          <w:noProof/>
        </w:rPr>
        <w:t>22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17.4</w:t>
      </w:r>
      <w:r>
        <w:rPr>
          <w:rFonts w:asciiTheme="minorHAnsi" w:eastAsiaTheme="minorEastAsia" w:hAnsiTheme="minorHAnsi"/>
          <w:noProof/>
          <w:sz w:val="22"/>
          <w:lang w:eastAsia="en-AU"/>
        </w:rPr>
        <w:tab/>
      </w:r>
      <w:r>
        <w:rPr>
          <w:noProof/>
        </w:rPr>
        <w:t>Further acts</w:t>
      </w:r>
      <w:r>
        <w:rPr>
          <w:noProof/>
        </w:rPr>
        <w:tab/>
      </w:r>
      <w:r>
        <w:rPr>
          <w:noProof/>
        </w:rPr>
        <w:fldChar w:fldCharType="begin"/>
      </w:r>
      <w:r>
        <w:rPr>
          <w:noProof/>
        </w:rPr>
        <w:instrText xml:space="preserve"> PAGEREF _Toc485213374 \h </w:instrText>
      </w:r>
      <w:r>
        <w:rPr>
          <w:noProof/>
        </w:rPr>
      </w:r>
      <w:r>
        <w:rPr>
          <w:noProof/>
        </w:rPr>
        <w:fldChar w:fldCharType="separate"/>
      </w:r>
      <w:r>
        <w:rPr>
          <w:noProof/>
        </w:rPr>
        <w:t>22</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17.5</w:t>
      </w:r>
      <w:r>
        <w:rPr>
          <w:rFonts w:asciiTheme="minorHAnsi" w:eastAsiaTheme="minorEastAsia" w:hAnsiTheme="minorHAnsi"/>
          <w:noProof/>
          <w:sz w:val="22"/>
          <w:lang w:eastAsia="en-AU"/>
        </w:rPr>
        <w:tab/>
      </w:r>
      <w:r>
        <w:rPr>
          <w:noProof/>
        </w:rPr>
        <w:t>Reimbursement and indemnity</w:t>
      </w:r>
      <w:r>
        <w:rPr>
          <w:noProof/>
        </w:rPr>
        <w:tab/>
      </w:r>
      <w:r>
        <w:rPr>
          <w:noProof/>
        </w:rPr>
        <w:fldChar w:fldCharType="begin"/>
      </w:r>
      <w:r>
        <w:rPr>
          <w:noProof/>
        </w:rPr>
        <w:instrText xml:space="preserve"> PAGEREF _Toc485213375 \h </w:instrText>
      </w:r>
      <w:r>
        <w:rPr>
          <w:noProof/>
        </w:rPr>
      </w:r>
      <w:r>
        <w:rPr>
          <w:noProof/>
        </w:rPr>
        <w:fldChar w:fldCharType="separate"/>
      </w:r>
      <w:r>
        <w:rPr>
          <w:noProof/>
        </w:rPr>
        <w:t>22</w:t>
      </w:r>
      <w:r>
        <w:rPr>
          <w:noProof/>
        </w:rPr>
        <w:fldChar w:fldCharType="end"/>
      </w:r>
    </w:p>
    <w:p w:rsidR="00025445" w:rsidRDefault="006D4E7B">
      <w:pPr>
        <w:pStyle w:val="TOC1"/>
        <w:rPr>
          <w:rFonts w:asciiTheme="minorHAnsi" w:eastAsiaTheme="minorEastAsia" w:hAnsiTheme="minorHAnsi"/>
          <w:b w:val="0"/>
          <w:sz w:val="22"/>
          <w:lang w:eastAsia="en-AU"/>
        </w:rPr>
      </w:pPr>
      <w:r>
        <w:t>18.</w:t>
      </w:r>
      <w:r>
        <w:rPr>
          <w:rFonts w:asciiTheme="minorHAnsi" w:eastAsiaTheme="minorEastAsia" w:hAnsiTheme="minorHAnsi"/>
          <w:b w:val="0"/>
          <w:sz w:val="22"/>
          <w:lang w:eastAsia="en-AU"/>
        </w:rPr>
        <w:tab/>
      </w:r>
      <w:r>
        <w:t>Costs and expenses</w:t>
      </w:r>
      <w:r>
        <w:tab/>
      </w:r>
      <w:r>
        <w:fldChar w:fldCharType="begin"/>
      </w:r>
      <w:r>
        <w:instrText xml:space="preserve"> PAGEREF _Toc485213376 \h </w:instrText>
      </w:r>
      <w:r>
        <w:fldChar w:fldCharType="separate"/>
      </w:r>
      <w:r>
        <w:t>23</w:t>
      </w:r>
      <w:r>
        <w:fldChar w:fldCharType="end"/>
      </w:r>
    </w:p>
    <w:p w:rsidR="00025445" w:rsidRDefault="006D4E7B">
      <w:pPr>
        <w:pStyle w:val="TOC2"/>
        <w:rPr>
          <w:rFonts w:asciiTheme="minorHAnsi" w:eastAsiaTheme="minorEastAsia" w:hAnsiTheme="minorHAnsi"/>
          <w:noProof/>
          <w:sz w:val="22"/>
          <w:lang w:eastAsia="en-AU"/>
        </w:rPr>
      </w:pPr>
      <w:r>
        <w:rPr>
          <w:noProof/>
        </w:rPr>
        <w:t>18.1</w:t>
      </w:r>
      <w:r>
        <w:rPr>
          <w:rFonts w:asciiTheme="minorHAnsi" w:eastAsiaTheme="minorEastAsia" w:hAnsiTheme="minorHAnsi"/>
          <w:noProof/>
          <w:sz w:val="22"/>
          <w:lang w:eastAsia="en-AU"/>
        </w:rPr>
        <w:tab/>
      </w:r>
      <w:r>
        <w:rPr>
          <w:noProof/>
        </w:rPr>
        <w:t>Stamp duty</w:t>
      </w:r>
      <w:r>
        <w:rPr>
          <w:noProof/>
        </w:rPr>
        <w:tab/>
      </w:r>
      <w:r>
        <w:rPr>
          <w:noProof/>
        </w:rPr>
        <w:fldChar w:fldCharType="begin"/>
      </w:r>
      <w:r>
        <w:rPr>
          <w:noProof/>
        </w:rPr>
        <w:instrText xml:space="preserve"> PAGEREF _Toc485213377 \h </w:instrText>
      </w:r>
      <w:r>
        <w:rPr>
          <w:noProof/>
        </w:rPr>
      </w:r>
      <w:r>
        <w:rPr>
          <w:noProof/>
        </w:rPr>
        <w:fldChar w:fldCharType="separate"/>
      </w:r>
      <w:r>
        <w:rPr>
          <w:noProof/>
        </w:rPr>
        <w:t>23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18.2</w:t>
      </w:r>
      <w:r>
        <w:rPr>
          <w:rFonts w:asciiTheme="minorHAnsi" w:eastAsiaTheme="minorEastAsia" w:hAnsiTheme="minorHAnsi"/>
          <w:noProof/>
          <w:sz w:val="22"/>
          <w:lang w:eastAsia="en-AU"/>
        </w:rPr>
        <w:tab/>
      </w:r>
      <w:r>
        <w:rPr>
          <w:noProof/>
        </w:rPr>
        <w:t>Transaction costs</w:t>
      </w:r>
      <w:r>
        <w:rPr>
          <w:noProof/>
        </w:rPr>
        <w:tab/>
      </w:r>
      <w:r>
        <w:rPr>
          <w:noProof/>
        </w:rPr>
        <w:fldChar w:fldCharType="begin"/>
      </w:r>
      <w:r>
        <w:rPr>
          <w:noProof/>
        </w:rPr>
        <w:instrText xml:space="preserve"> PAGEREF _Toc485213378 \h </w:instrText>
      </w:r>
      <w:r>
        <w:rPr>
          <w:noProof/>
        </w:rPr>
      </w:r>
      <w:r>
        <w:rPr>
          <w:noProof/>
        </w:rPr>
        <w:fldChar w:fldCharType="separate"/>
      </w:r>
      <w:r>
        <w:rPr>
          <w:noProof/>
        </w:rPr>
        <w:t>23</w:t>
      </w:r>
      <w:r>
        <w:rPr>
          <w:noProof/>
        </w:rPr>
        <w:fldChar w:fldCharType="end"/>
      </w:r>
    </w:p>
    <w:p w:rsidR="00025445" w:rsidRDefault="006D4E7B">
      <w:pPr>
        <w:pStyle w:val="TOC1"/>
        <w:rPr>
          <w:rFonts w:asciiTheme="minorHAnsi" w:eastAsiaTheme="minorEastAsia" w:hAnsiTheme="minorHAnsi"/>
          <w:b w:val="0"/>
          <w:sz w:val="22"/>
          <w:lang w:eastAsia="en-AU"/>
        </w:rPr>
      </w:pPr>
      <w:r>
        <w:t>19.</w:t>
      </w:r>
      <w:r>
        <w:rPr>
          <w:rFonts w:asciiTheme="minorHAnsi" w:eastAsiaTheme="minorEastAsia" w:hAnsiTheme="minorHAnsi"/>
          <w:b w:val="0"/>
          <w:sz w:val="22"/>
          <w:lang w:eastAsia="en-AU"/>
        </w:rPr>
        <w:tab/>
      </w:r>
      <w:r>
        <w:t>General</w:t>
      </w:r>
      <w:r>
        <w:tab/>
      </w:r>
      <w:r>
        <w:fldChar w:fldCharType="begin"/>
      </w:r>
      <w:r>
        <w:instrText xml:space="preserve"> PAGEREF _Toc485213379 \h </w:instrText>
      </w:r>
      <w:r>
        <w:fldChar w:fldCharType="separate"/>
      </w:r>
      <w:r>
        <w:t>23</w:t>
      </w:r>
      <w:r>
        <w:fldChar w:fldCharType="end"/>
      </w:r>
    </w:p>
    <w:p w:rsidR="00025445" w:rsidRDefault="006D4E7B">
      <w:pPr>
        <w:pStyle w:val="TOC2"/>
        <w:rPr>
          <w:rFonts w:asciiTheme="minorHAnsi" w:eastAsiaTheme="minorEastAsia" w:hAnsiTheme="minorHAnsi"/>
          <w:noProof/>
          <w:sz w:val="22"/>
          <w:lang w:eastAsia="en-AU"/>
        </w:rPr>
      </w:pPr>
      <w:r>
        <w:rPr>
          <w:noProof/>
        </w:rPr>
        <w:t>19.1</w:t>
      </w:r>
      <w:r>
        <w:rPr>
          <w:rFonts w:asciiTheme="minorHAnsi" w:eastAsiaTheme="minorEastAsia" w:hAnsiTheme="minorHAnsi"/>
          <w:noProof/>
          <w:sz w:val="22"/>
          <w:lang w:eastAsia="en-AU"/>
        </w:rPr>
        <w:tab/>
      </w:r>
      <w:r>
        <w:rPr>
          <w:noProof/>
        </w:rPr>
        <w:t>Notices</w:t>
      </w:r>
      <w:r>
        <w:rPr>
          <w:noProof/>
        </w:rPr>
        <w:tab/>
      </w:r>
      <w:r>
        <w:rPr>
          <w:noProof/>
        </w:rPr>
        <w:fldChar w:fldCharType="begin"/>
      </w:r>
      <w:r>
        <w:rPr>
          <w:noProof/>
        </w:rPr>
        <w:instrText xml:space="preserve"> PAGEREF _Toc485213380 \h </w:instrText>
      </w:r>
      <w:r>
        <w:rPr>
          <w:noProof/>
        </w:rPr>
      </w:r>
      <w:r>
        <w:rPr>
          <w:noProof/>
        </w:rPr>
        <w:fldChar w:fldCharType="separate"/>
      </w:r>
      <w:r>
        <w:rPr>
          <w:noProof/>
        </w:rPr>
        <w:t>23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19.2</w:t>
      </w:r>
      <w:r>
        <w:rPr>
          <w:rFonts w:asciiTheme="minorHAnsi" w:eastAsiaTheme="minorEastAsia" w:hAnsiTheme="minorHAnsi"/>
          <w:noProof/>
          <w:sz w:val="22"/>
          <w:lang w:eastAsia="en-AU"/>
        </w:rPr>
        <w:tab/>
      </w:r>
      <w:r>
        <w:rPr>
          <w:noProof/>
        </w:rPr>
        <w:t>Governing law and jurisdiction</w:t>
      </w:r>
      <w:r>
        <w:rPr>
          <w:noProof/>
        </w:rPr>
        <w:tab/>
      </w:r>
      <w:r>
        <w:rPr>
          <w:noProof/>
        </w:rPr>
        <w:fldChar w:fldCharType="begin"/>
      </w:r>
      <w:r>
        <w:rPr>
          <w:noProof/>
        </w:rPr>
        <w:instrText xml:space="preserve"> PAGEREF _Toc485213381 \h </w:instrText>
      </w:r>
      <w:r>
        <w:rPr>
          <w:noProof/>
        </w:rPr>
      </w:r>
      <w:r>
        <w:rPr>
          <w:noProof/>
        </w:rPr>
        <w:fldChar w:fldCharType="separate"/>
      </w:r>
      <w:r>
        <w:rPr>
          <w:noProof/>
        </w:rPr>
        <w:t>23</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19.3</w:t>
      </w:r>
      <w:r>
        <w:rPr>
          <w:rFonts w:asciiTheme="minorHAnsi" w:eastAsiaTheme="minorEastAsia" w:hAnsiTheme="minorHAnsi"/>
          <w:noProof/>
          <w:sz w:val="22"/>
          <w:lang w:eastAsia="en-AU"/>
        </w:rPr>
        <w:tab/>
      </w:r>
      <w:r>
        <w:rPr>
          <w:noProof/>
        </w:rPr>
        <w:t>Invalidity</w:t>
      </w:r>
      <w:r>
        <w:rPr>
          <w:noProof/>
        </w:rPr>
        <w:tab/>
      </w:r>
      <w:r>
        <w:rPr>
          <w:noProof/>
        </w:rPr>
        <w:fldChar w:fldCharType="begin"/>
      </w:r>
      <w:r>
        <w:rPr>
          <w:noProof/>
        </w:rPr>
        <w:instrText xml:space="preserve"> PAGEREF _Toc485213382 \h </w:instrText>
      </w:r>
      <w:r>
        <w:rPr>
          <w:noProof/>
        </w:rPr>
      </w:r>
      <w:r>
        <w:rPr>
          <w:noProof/>
        </w:rPr>
        <w:fldChar w:fldCharType="separate"/>
      </w:r>
      <w:r>
        <w:rPr>
          <w:noProof/>
        </w:rPr>
        <w:t>24</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19.4</w:t>
      </w:r>
      <w:r>
        <w:rPr>
          <w:rFonts w:asciiTheme="minorHAnsi" w:eastAsiaTheme="minorEastAsia" w:hAnsiTheme="minorHAnsi"/>
          <w:noProof/>
          <w:sz w:val="22"/>
          <w:lang w:eastAsia="en-AU"/>
        </w:rPr>
        <w:tab/>
      </w:r>
      <w:r>
        <w:rPr>
          <w:noProof/>
        </w:rPr>
        <w:t>Agreement and Constitution</w:t>
      </w:r>
      <w:r>
        <w:rPr>
          <w:noProof/>
        </w:rPr>
        <w:tab/>
      </w:r>
      <w:r>
        <w:rPr>
          <w:noProof/>
        </w:rPr>
        <w:fldChar w:fldCharType="begin"/>
      </w:r>
      <w:r>
        <w:rPr>
          <w:noProof/>
        </w:rPr>
        <w:instrText xml:space="preserve"> PAGEREF _Toc485213383 \h </w:instrText>
      </w:r>
      <w:r>
        <w:rPr>
          <w:noProof/>
        </w:rPr>
      </w:r>
      <w:r>
        <w:rPr>
          <w:noProof/>
        </w:rPr>
        <w:fldChar w:fldCharType="separate"/>
      </w:r>
      <w:r>
        <w:rPr>
          <w:noProof/>
        </w:rPr>
        <w:t>24</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19.5</w:t>
      </w:r>
      <w:r>
        <w:rPr>
          <w:rFonts w:asciiTheme="minorHAnsi" w:eastAsiaTheme="minorEastAsia" w:hAnsiTheme="minorHAnsi"/>
          <w:noProof/>
          <w:sz w:val="22"/>
          <w:lang w:eastAsia="en-AU"/>
        </w:rPr>
        <w:tab/>
      </w:r>
      <w:r>
        <w:rPr>
          <w:noProof/>
        </w:rPr>
        <w:t>Cumulative Rights</w:t>
      </w:r>
      <w:r>
        <w:rPr>
          <w:noProof/>
        </w:rPr>
        <w:tab/>
      </w:r>
      <w:r>
        <w:rPr>
          <w:noProof/>
        </w:rPr>
        <w:fldChar w:fldCharType="begin"/>
      </w:r>
      <w:r>
        <w:rPr>
          <w:noProof/>
        </w:rPr>
        <w:instrText xml:space="preserve"> PAGEREF _Toc485213384 \h </w:instrText>
      </w:r>
      <w:r>
        <w:rPr>
          <w:noProof/>
        </w:rPr>
      </w:r>
      <w:r>
        <w:rPr>
          <w:noProof/>
        </w:rPr>
        <w:fldChar w:fldCharType="separate"/>
      </w:r>
      <w:r>
        <w:rPr>
          <w:noProof/>
        </w:rPr>
        <w:t>24</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19.6</w:t>
      </w:r>
      <w:r>
        <w:rPr>
          <w:rFonts w:asciiTheme="minorHAnsi" w:eastAsiaTheme="minorEastAsia" w:hAnsiTheme="minorHAnsi"/>
          <w:noProof/>
          <w:sz w:val="22"/>
          <w:lang w:eastAsia="en-AU"/>
        </w:rPr>
        <w:tab/>
      </w:r>
      <w:r>
        <w:rPr>
          <w:noProof/>
        </w:rPr>
        <w:t>Entire agreement</w:t>
      </w:r>
      <w:r>
        <w:rPr>
          <w:noProof/>
        </w:rPr>
        <w:tab/>
      </w:r>
      <w:r>
        <w:rPr>
          <w:noProof/>
        </w:rPr>
        <w:fldChar w:fldCharType="begin"/>
      </w:r>
      <w:r>
        <w:rPr>
          <w:noProof/>
        </w:rPr>
        <w:instrText xml:space="preserve"> PAGEREF _Toc485213385 \h </w:instrText>
      </w:r>
      <w:r>
        <w:rPr>
          <w:noProof/>
        </w:rPr>
      </w:r>
      <w:r>
        <w:rPr>
          <w:noProof/>
        </w:rPr>
        <w:fldChar w:fldCharType="separate"/>
      </w:r>
      <w:r>
        <w:rPr>
          <w:noProof/>
        </w:rPr>
        <w:t>24</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19.7</w:t>
      </w:r>
      <w:r>
        <w:rPr>
          <w:rFonts w:asciiTheme="minorHAnsi" w:eastAsiaTheme="minorEastAsia" w:hAnsiTheme="minorHAnsi"/>
          <w:noProof/>
          <w:sz w:val="22"/>
          <w:lang w:eastAsia="en-AU"/>
        </w:rPr>
        <w:tab/>
      </w:r>
      <w:r>
        <w:rPr>
          <w:noProof/>
        </w:rPr>
        <w:t>Counterparts</w:t>
      </w:r>
      <w:r>
        <w:rPr>
          <w:noProof/>
        </w:rPr>
        <w:tab/>
      </w:r>
      <w:r>
        <w:rPr>
          <w:noProof/>
        </w:rPr>
        <w:fldChar w:fldCharType="begin"/>
      </w:r>
      <w:r>
        <w:rPr>
          <w:noProof/>
        </w:rPr>
        <w:instrText xml:space="preserve"> PAGEREF _Toc485213386 \h </w:instrText>
      </w:r>
      <w:r>
        <w:rPr>
          <w:noProof/>
        </w:rPr>
      </w:r>
      <w:r>
        <w:rPr>
          <w:noProof/>
        </w:rPr>
        <w:fldChar w:fldCharType="separate"/>
      </w:r>
      <w:r>
        <w:rPr>
          <w:noProof/>
        </w:rPr>
        <w:t>25</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19.8</w:t>
      </w:r>
      <w:r>
        <w:rPr>
          <w:rFonts w:asciiTheme="minorHAnsi" w:eastAsiaTheme="minorEastAsia" w:hAnsiTheme="minorHAnsi"/>
          <w:noProof/>
          <w:sz w:val="22"/>
          <w:lang w:eastAsia="en-AU"/>
        </w:rPr>
        <w:tab/>
      </w:r>
      <w:r>
        <w:rPr>
          <w:noProof/>
        </w:rPr>
        <w:t>Relationship between parties</w:t>
      </w:r>
      <w:r>
        <w:rPr>
          <w:noProof/>
        </w:rPr>
        <w:tab/>
      </w:r>
      <w:r>
        <w:rPr>
          <w:noProof/>
        </w:rPr>
        <w:fldChar w:fldCharType="begin"/>
      </w:r>
      <w:r>
        <w:rPr>
          <w:noProof/>
        </w:rPr>
        <w:instrText xml:space="preserve"> PAGEREF _Toc485213387 \h </w:instrText>
      </w:r>
      <w:r>
        <w:rPr>
          <w:noProof/>
        </w:rPr>
      </w:r>
      <w:r>
        <w:rPr>
          <w:noProof/>
        </w:rPr>
        <w:fldChar w:fldCharType="separate"/>
      </w:r>
      <w:r>
        <w:rPr>
          <w:noProof/>
        </w:rPr>
        <w:t>25</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19.9</w:t>
      </w:r>
      <w:r>
        <w:rPr>
          <w:rFonts w:asciiTheme="minorHAnsi" w:eastAsiaTheme="minorEastAsia" w:hAnsiTheme="minorHAnsi"/>
          <w:noProof/>
          <w:sz w:val="22"/>
          <w:lang w:eastAsia="en-AU"/>
        </w:rPr>
        <w:tab/>
      </w:r>
      <w:r>
        <w:rPr>
          <w:noProof/>
        </w:rPr>
        <w:t>Assignment</w:t>
      </w:r>
      <w:r>
        <w:rPr>
          <w:noProof/>
        </w:rPr>
        <w:tab/>
      </w:r>
      <w:r>
        <w:rPr>
          <w:noProof/>
        </w:rPr>
        <w:fldChar w:fldCharType="begin"/>
      </w:r>
      <w:r>
        <w:rPr>
          <w:noProof/>
        </w:rPr>
        <w:instrText xml:space="preserve"> PAGEREF _Toc485213388 \h </w:instrText>
      </w:r>
      <w:r>
        <w:rPr>
          <w:noProof/>
        </w:rPr>
      </w:r>
      <w:r>
        <w:rPr>
          <w:noProof/>
        </w:rPr>
        <w:fldChar w:fldCharType="separate"/>
      </w:r>
      <w:r>
        <w:rPr>
          <w:noProof/>
        </w:rPr>
        <w:t>25</w:t>
      </w:r>
      <w:r>
        <w:rPr>
          <w:noProof/>
        </w:rPr>
        <w:fldChar w:fldCharType="end"/>
      </w:r>
    </w:p>
    <w:p w:rsidR="00025445" w:rsidRDefault="006D4E7B">
      <w:pPr>
        <w:pStyle w:val="TOC2"/>
        <w:rPr>
          <w:rFonts w:asciiTheme="minorHAnsi" w:eastAsiaTheme="minorEastAsia" w:hAnsiTheme="minorHAnsi"/>
          <w:noProof/>
          <w:sz w:val="22"/>
          <w:lang w:eastAsia="en-AU"/>
        </w:rPr>
      </w:pPr>
      <w:r>
        <w:rPr>
          <w:noProof/>
        </w:rPr>
        <w:t>19.10</w:t>
      </w:r>
      <w:r>
        <w:rPr>
          <w:rFonts w:asciiTheme="minorHAnsi" w:eastAsiaTheme="minorEastAsia" w:hAnsiTheme="minorHAnsi"/>
          <w:noProof/>
          <w:sz w:val="22"/>
          <w:lang w:eastAsia="en-AU"/>
        </w:rPr>
        <w:tab/>
      </w:r>
      <w:r>
        <w:rPr>
          <w:noProof/>
        </w:rPr>
        <w:t>Further assurances</w:t>
      </w:r>
      <w:r>
        <w:rPr>
          <w:noProof/>
        </w:rPr>
        <w:tab/>
      </w:r>
      <w:r>
        <w:rPr>
          <w:noProof/>
        </w:rPr>
        <w:fldChar w:fldCharType="begin"/>
      </w:r>
      <w:r>
        <w:rPr>
          <w:noProof/>
        </w:rPr>
        <w:instrText xml:space="preserve"> PAGEREF _Toc485213389 \h </w:instrText>
      </w:r>
      <w:r>
        <w:rPr>
          <w:noProof/>
        </w:rPr>
      </w:r>
      <w:r>
        <w:rPr>
          <w:noProof/>
        </w:rPr>
        <w:fldChar w:fldCharType="separate"/>
      </w:r>
      <w:r>
        <w:rPr>
          <w:noProof/>
        </w:rPr>
        <w:t>25</w:t>
      </w:r>
      <w:r>
        <w:rPr>
          <w:noProof/>
        </w:rPr>
        <w:fldChar w:fldCharType="end"/>
      </w:r>
    </w:p>
    <w:p w:rsidR="00025445" w:rsidRDefault="006D4E7B">
      <w:pPr>
        <w:pStyle w:val="TOC3"/>
        <w:tabs>
          <w:tab w:val="left" w:pos="1540"/>
        </w:tabs>
        <w:rPr>
          <w:rFonts w:asciiTheme="minorHAnsi" w:eastAsiaTheme="minorEastAsia" w:hAnsiTheme="minorHAnsi"/>
          <w:b w:val="0"/>
          <w:noProof/>
          <w:sz w:val="22"/>
          <w:lang w:eastAsia="en-AU"/>
        </w:rPr>
      </w:pPr>
      <w:r>
        <w:rPr>
          <w:noProof/>
        </w:rPr>
        <w:t>Schedule 1</w:t>
      </w:r>
      <w:r>
        <w:rPr>
          <w:rFonts w:asciiTheme="minorHAnsi" w:eastAsiaTheme="minorEastAsia" w:hAnsiTheme="minorHAnsi"/>
          <w:b w:val="0"/>
          <w:noProof/>
          <w:sz w:val="22"/>
          <w:lang w:eastAsia="en-AU"/>
        </w:rPr>
        <w:tab/>
      </w:r>
      <w:r>
        <w:rPr>
          <w:noProof/>
        </w:rPr>
        <w:t>Shareholders</w:t>
      </w:r>
      <w:r>
        <w:rPr>
          <w:noProof/>
        </w:rPr>
        <w:tab/>
      </w:r>
      <w:r>
        <w:rPr>
          <w:noProof/>
        </w:rPr>
        <w:fldChar w:fldCharType="begin"/>
      </w:r>
      <w:r>
        <w:rPr>
          <w:noProof/>
        </w:rPr>
        <w:instrText xml:space="preserve"> PAGEREF _Toc485213390 \h </w:instrText>
      </w:r>
      <w:r>
        <w:rPr>
          <w:noProof/>
        </w:rPr>
      </w:r>
      <w:r>
        <w:rPr>
          <w:noProof/>
        </w:rPr>
        <w:fldChar w:fldCharType="separate"/>
      </w:r>
      <w:r>
        <w:rPr>
          <w:noProof/>
        </w:rPr>
        <w:t>26</w:t>
      </w:r>
      <w:r>
        <w:rPr>
          <w:noProof/>
        </w:rPr>
        <w:fldChar w:fldCharType="end"/>
      </w:r>
    </w:p>
    <w:p w:rsidR="00025445" w:rsidRDefault="006D4E7B">
      <w:pPr>
        <w:pStyle w:val="TOC3"/>
        <w:tabs>
          <w:tab w:val="left" w:pos="1540"/>
        </w:tabs>
        <w:rPr>
          <w:rFonts w:asciiTheme="minorHAnsi" w:eastAsiaTheme="minorEastAsia" w:hAnsiTheme="minorHAnsi"/>
          <w:b w:val="0"/>
          <w:noProof/>
          <w:sz w:val="22"/>
          <w:lang w:eastAsia="en-AU"/>
        </w:rPr>
      </w:pPr>
      <w:r>
        <w:rPr>
          <w:noProof/>
        </w:rPr>
        <w:t>Schedule 2</w:t>
      </w:r>
      <w:r>
        <w:rPr>
          <w:rFonts w:asciiTheme="minorHAnsi" w:eastAsiaTheme="minorEastAsia" w:hAnsiTheme="minorHAnsi"/>
          <w:b w:val="0"/>
          <w:noProof/>
          <w:sz w:val="22"/>
          <w:lang w:eastAsia="en-AU"/>
        </w:rPr>
        <w:tab/>
      </w:r>
      <w:r>
        <w:rPr>
          <w:noProof/>
        </w:rPr>
        <w:t>Critical Business Matters</w:t>
      </w:r>
      <w:r>
        <w:rPr>
          <w:noProof/>
        </w:rPr>
        <w:tab/>
      </w:r>
      <w:r>
        <w:rPr>
          <w:noProof/>
        </w:rPr>
        <w:fldChar w:fldCharType="begin"/>
      </w:r>
      <w:r>
        <w:rPr>
          <w:noProof/>
        </w:rPr>
        <w:instrText xml:space="preserve"> PAGEREF _Toc485213391 \h </w:instrText>
      </w:r>
      <w:r>
        <w:rPr>
          <w:noProof/>
        </w:rPr>
      </w:r>
      <w:r>
        <w:rPr>
          <w:noProof/>
        </w:rPr>
        <w:fldChar w:fldCharType="separate"/>
      </w:r>
      <w:r>
        <w:rPr>
          <w:noProof/>
        </w:rPr>
        <w:t>27</w:t>
      </w:r>
      <w:r>
        <w:rPr>
          <w:noProof/>
        </w:rPr>
        <w:fldChar w:fldCharType="end"/>
      </w:r>
    </w:p>
    <w:p w:rsidR="00025445" w:rsidRDefault="006D4E7B">
      <w:pPr>
        <w:pStyle w:val="TOC3"/>
        <w:rPr>
          <w:rFonts w:asciiTheme="minorHAnsi" w:eastAsiaTheme="minorEastAsia" w:hAnsiTheme="minorHAnsi"/>
          <w:b w:val="0"/>
          <w:noProof/>
          <w:sz w:val="22"/>
          <w:lang w:eastAsia="en-AU"/>
        </w:rPr>
      </w:pPr>
      <w:r>
        <w:rPr>
          <w:noProof/>
        </w:rPr>
        <w:t>Signing page</w:t>
      </w:r>
      <w:r>
        <w:rPr>
          <w:noProof/>
        </w:rPr>
        <w:tab/>
      </w:r>
      <w:r>
        <w:rPr>
          <w:noProof/>
        </w:rPr>
        <w:fldChar w:fldCharType="begin"/>
      </w:r>
      <w:r>
        <w:rPr>
          <w:noProof/>
        </w:rPr>
        <w:instrText xml:space="preserve"> PAGEREF _Toc485213392 \h </w:instrText>
      </w:r>
      <w:r>
        <w:rPr>
          <w:noProof/>
        </w:rPr>
      </w:r>
      <w:r>
        <w:rPr>
          <w:noProof/>
        </w:rPr>
        <w:fldChar w:fldCharType="separate"/>
      </w:r>
      <w:r>
        <w:rPr>
          <w:noProof/>
        </w:rPr>
        <w:t>29</w:t>
      </w:r>
      <w:r>
        <w:rPr>
          <w:noProof/>
        </w:rPr>
        <w:fldChar w:fldCharType="end"/>
      </w:r>
    </w:p>
    <w:p w:rsidR="00025445" w:rsidRDefault="006D4E7B">
      <w:pPr>
        <w:pStyle w:val="TOC3"/>
        <w:tabs>
          <w:tab w:val="left" w:pos="1760"/>
        </w:tabs>
        <w:rPr>
          <w:rFonts w:asciiTheme="minorHAnsi" w:eastAsiaTheme="minorEastAsia" w:hAnsiTheme="minorHAnsi"/>
          <w:b w:val="0"/>
          <w:noProof/>
          <w:sz w:val="22"/>
          <w:lang w:eastAsia="en-AU"/>
        </w:rPr>
      </w:pPr>
      <w:r>
        <w:rPr>
          <w:noProof/>
        </w:rPr>
        <w:t>Annexure A</w:t>
      </w:r>
      <w:r>
        <w:rPr>
          <w:rFonts w:asciiTheme="minorHAnsi" w:eastAsiaTheme="minorEastAsia" w:hAnsiTheme="minorHAnsi"/>
          <w:b w:val="0"/>
          <w:noProof/>
          <w:sz w:val="22"/>
          <w:lang w:eastAsia="en-AU"/>
        </w:rPr>
        <w:tab/>
      </w:r>
      <w:r>
        <w:rPr>
          <w:noProof/>
        </w:rPr>
        <w:t>Deed of Accession</w:t>
      </w:r>
      <w:r>
        <w:rPr>
          <w:noProof/>
        </w:rPr>
        <w:tab/>
      </w:r>
      <w:r>
        <w:rPr>
          <w:noProof/>
        </w:rPr>
        <w:fldChar w:fldCharType="begin"/>
      </w:r>
      <w:r>
        <w:rPr>
          <w:noProof/>
        </w:rPr>
        <w:instrText xml:space="preserve"> PAGEREF _Toc485213393 \h </w:instrText>
      </w:r>
      <w:r>
        <w:rPr>
          <w:noProof/>
        </w:rPr>
      </w:r>
      <w:r>
        <w:rPr>
          <w:noProof/>
        </w:rPr>
        <w:fldChar w:fldCharType="separate"/>
      </w:r>
      <w:r>
        <w:rPr>
          <w:noProof/>
        </w:rPr>
        <w:t>31</w:t>
      </w:r>
      <w:r>
        <w:rPr>
          <w:noProof/>
        </w:rPr>
        <w:fldChar w:fldCharType="end"/>
      </w:r>
    </w:p>
    <w:p w:rsidR="00025445" w:rsidRDefault="006D4E7B">
      <w:pPr>
        <w:tabs>
          <w:tab w:val="left" w:pos="680"/>
          <w:tab w:val="right" w:leader="dot" w:pos="9468"/>
        </w:tabs>
        <w:rPr>
          <w:rFonts w:eastAsia="Calibri" w:cs="Times New Roman"/>
        </w:rPr>
      </w:pPr>
      <w:r>
        <w:rPr>
          <w:rFonts w:eastAsia="Calibri" w:cs="Times New Roman"/>
          <w:b/>
          <w:sz w:val="24"/>
        </w:rPr>
        <w:lastRenderedPageBreak/>
        <w:fldChar w:fldCharType="end"/>
      </w:r>
    </w:p>
    <w:p w:rsidR="00025445" w:rsidRDefault="00025445">
      <w:pPr>
        <w:tabs>
          <w:tab w:val="left" w:pos="680"/>
          <w:tab w:val="right" w:leader="dot" w:pos="9468"/>
        </w:tabs>
        <w:rPr>
          <w:rFonts w:eastAsia="Calibri" w:cs="Times New Roman"/>
          <w:b/>
        </w:rPr>
      </w:pPr>
    </w:p>
    <w:p w:rsidR="00025445" w:rsidRDefault="006D4E7B">
      <w:pPr>
        <w:rPr>
          <w:rFonts w:eastAsia="Calibri" w:cs="Times New Roman"/>
          <w:b/>
          <w:sz w:val="32"/>
        </w:rPr>
      </w:pPr>
      <w:r>
        <w:rPr>
          <w:rFonts w:eastAsia="Calibri" w:cs="Times New Roman"/>
          <w:b/>
          <w:sz w:val="32"/>
        </w:rPr>
        <w:t>Shareholders Agreement</w:t>
      </w:r>
    </w:p>
    <w:p w:rsidR="00025445" w:rsidRDefault="006D4E7B">
      <w:pPr>
        <w:tabs>
          <w:tab w:val="left" w:pos="3402"/>
        </w:tabs>
        <w:rPr>
          <w:rFonts w:eastAsia="Calibri" w:cs="Times New Roman"/>
        </w:rPr>
      </w:pPr>
      <w:r>
        <w:rPr>
          <w:rFonts w:eastAsia="Calibri" w:cs="Times New Roman"/>
          <w:b/>
          <w:sz w:val="28"/>
        </w:rPr>
        <w:t>Date</w:t>
      </w:r>
      <w:r>
        <w:rPr>
          <w:rFonts w:eastAsia="Calibri" w:cs="Times New Roman"/>
          <w:b/>
        </w:rPr>
        <w:tab/>
      </w:r>
    </w:p>
    <w:p w:rsidR="00025445" w:rsidRDefault="006D4E7B">
      <w:pPr>
        <w:keepNext/>
        <w:jc w:val="left"/>
        <w:rPr>
          <w:rFonts w:eastAsia="Calibri" w:cs="Times New Roman"/>
          <w:b/>
          <w:sz w:val="28"/>
          <w:szCs w:val="28"/>
        </w:rPr>
      </w:pPr>
      <w:r>
        <w:rPr>
          <w:rFonts w:eastAsia="Calibri" w:cs="Times New Roman"/>
          <w:b/>
          <w:sz w:val="28"/>
          <w:szCs w:val="28"/>
        </w:rPr>
        <w:t>Parties</w:t>
      </w:r>
    </w:p>
    <w:p w:rsidR="00025445" w:rsidRDefault="006D4E7B">
      <w:pPr>
        <w:numPr>
          <w:ilvl w:val="0"/>
          <w:numId w:val="25"/>
        </w:numPr>
        <w:rPr>
          <w:rFonts w:eastAsia="Calibri" w:cs="Times New Roman"/>
        </w:rPr>
      </w:pPr>
      <w:r>
        <w:rPr>
          <w:rFonts w:eastAsia="Calibri" w:cs="Times New Roman"/>
          <w:b/>
          <w:highlight w:val="yellow"/>
        </w:rPr>
        <w:t>Company name</w:t>
      </w:r>
      <w:r>
        <w:rPr>
          <w:rFonts w:eastAsia="Calibri" w:cs="Times New Roman"/>
        </w:rPr>
        <w:t xml:space="preserve"> ACN </w:t>
      </w:r>
      <w:r>
        <w:rPr>
          <w:rFonts w:eastAsia="Calibri" w:cs="Times New Roman"/>
          <w:color w:val="0000FF"/>
        </w:rPr>
        <w:t xml:space="preserve"> </w:t>
      </w:r>
      <w:r>
        <w:rPr>
          <w:rFonts w:eastAsia="Calibri" w:cs="Times New Roman"/>
          <w:highlight w:val="yellow"/>
        </w:rPr>
        <w:t>ACN</w:t>
      </w:r>
      <w:r>
        <w:rPr>
          <w:rFonts w:eastAsia="Calibri" w:cs="Times New Roman"/>
        </w:rPr>
        <w:t xml:space="preserve"> of </w:t>
      </w:r>
      <w:r>
        <w:rPr>
          <w:rFonts w:eastAsia="Calibri" w:cs="Times New Roman"/>
          <w:color w:val="0000FF"/>
        </w:rPr>
        <w:t xml:space="preserve"> </w:t>
      </w:r>
      <w:r>
        <w:rPr>
          <w:rFonts w:eastAsia="Calibri" w:cs="Times New Roman"/>
          <w:highlight w:val="yellow"/>
        </w:rPr>
        <w:t>address</w:t>
      </w:r>
      <w:r>
        <w:rPr>
          <w:rFonts w:eastAsia="Calibri" w:cs="Times New Roman"/>
        </w:rPr>
        <w:t xml:space="preserve">, </w:t>
      </w:r>
      <w:r>
        <w:rPr>
          <w:rFonts w:eastAsia="Calibri" w:cs="Times New Roman"/>
          <w:color w:val="0000FF"/>
        </w:rPr>
        <w:t xml:space="preserve"> </w:t>
      </w:r>
      <w:r>
        <w:rPr>
          <w:rFonts w:eastAsia="Calibri" w:cs="Times New Roman"/>
          <w:highlight w:val="yellow"/>
        </w:rPr>
        <w:t>state</w:t>
      </w:r>
      <w:r>
        <w:rPr>
          <w:rFonts w:eastAsia="Calibri" w:cs="Times New Roman"/>
        </w:rPr>
        <w:t xml:space="preserve"> (</w:t>
      </w:r>
      <w:r>
        <w:rPr>
          <w:rFonts w:eastAsia="Calibri" w:cs="Times New Roman"/>
          <w:b/>
        </w:rPr>
        <w:t>Company</w:t>
      </w:r>
      <w:r>
        <w:rPr>
          <w:rFonts w:eastAsia="Calibri" w:cs="Times New Roman"/>
        </w:rPr>
        <w:t>)</w:t>
      </w:r>
    </w:p>
    <w:p w:rsidR="00025445" w:rsidRDefault="006D4E7B">
      <w:pPr>
        <w:numPr>
          <w:ilvl w:val="0"/>
          <w:numId w:val="25"/>
        </w:numPr>
        <w:rPr>
          <w:rFonts w:eastAsia="Calibri" w:cs="Times New Roman"/>
        </w:rPr>
      </w:pPr>
      <w:r>
        <w:rPr>
          <w:rFonts w:eastAsia="Calibri" w:cs="Times New Roman"/>
        </w:rPr>
        <w:t>The parties set out in Part 1 of Schedule 1 (</w:t>
      </w:r>
      <w:r>
        <w:rPr>
          <w:rFonts w:eastAsia="Calibri" w:cs="Times New Roman"/>
          <w:b/>
        </w:rPr>
        <w:t>Shareholders</w:t>
      </w:r>
      <w:r>
        <w:rPr>
          <w:rFonts w:eastAsia="Calibri" w:cs="Times New Roman"/>
        </w:rPr>
        <w:t>)</w:t>
      </w:r>
    </w:p>
    <w:p w:rsidR="00025445" w:rsidRDefault="006D4E7B">
      <w:pPr>
        <w:keepNext/>
        <w:jc w:val="left"/>
        <w:rPr>
          <w:rFonts w:eastAsia="Calibri" w:cs="Times New Roman"/>
          <w:b/>
          <w:sz w:val="28"/>
          <w:szCs w:val="28"/>
        </w:rPr>
      </w:pPr>
      <w:r>
        <w:rPr>
          <w:rFonts w:eastAsia="Calibri" w:cs="Times New Roman"/>
          <w:b/>
          <w:sz w:val="28"/>
          <w:szCs w:val="28"/>
        </w:rPr>
        <w:t>Background</w:t>
      </w:r>
    </w:p>
    <w:p w:rsidR="00025445" w:rsidRDefault="006D4E7B">
      <w:pPr>
        <w:numPr>
          <w:ilvl w:val="0"/>
          <w:numId w:val="24"/>
        </w:numPr>
        <w:rPr>
          <w:rFonts w:eastAsia="Calibri" w:cs="Times New Roman"/>
        </w:rPr>
      </w:pPr>
      <w:r>
        <w:rPr>
          <w:rFonts w:eastAsia="Calibri" w:cs="Times New Roman"/>
        </w:rPr>
        <w:t xml:space="preserve">This agreement sets out the parties’ agreement on how the affairs of the Company will be conducted as from the date of </w:t>
      </w:r>
      <w:r>
        <w:rPr>
          <w:rFonts w:eastAsia="Calibri" w:cs="Times New Roman"/>
        </w:rPr>
        <w:t>this agreement.</w:t>
      </w:r>
    </w:p>
    <w:p w:rsidR="00025445" w:rsidRDefault="006D4E7B">
      <w:pPr>
        <w:keepNext/>
        <w:jc w:val="left"/>
        <w:rPr>
          <w:rFonts w:eastAsia="Calibri" w:cs="Times New Roman"/>
          <w:b/>
          <w:sz w:val="28"/>
          <w:szCs w:val="28"/>
        </w:rPr>
      </w:pPr>
      <w:r>
        <w:rPr>
          <w:rFonts w:eastAsia="Calibri" w:cs="Times New Roman"/>
          <w:b/>
          <w:sz w:val="28"/>
          <w:szCs w:val="28"/>
        </w:rPr>
        <w:t>Operative part</w:t>
      </w:r>
    </w:p>
    <w:p w:rsidR="00025445" w:rsidRDefault="006D4E7B">
      <w:pPr>
        <w:pStyle w:val="Heading1"/>
      </w:pPr>
      <w:bookmarkStart w:id="0" w:name="_Toc485213308"/>
      <w:r>
        <w:t>Definitions</w:t>
      </w:r>
      <w:bookmarkEnd w:id="0"/>
    </w:p>
    <w:p w:rsidR="00025445" w:rsidRDefault="006D4E7B">
      <w:pPr>
        <w:pStyle w:val="bodytext2"/>
      </w:pPr>
      <w:r>
        <w:t>In this agreement:</w:t>
      </w:r>
    </w:p>
    <w:p w:rsidR="00025445" w:rsidRDefault="006D4E7B">
      <w:pPr>
        <w:pStyle w:val="bodytext2"/>
      </w:pPr>
      <w:r>
        <w:rPr>
          <w:b/>
        </w:rPr>
        <w:t>Affiliate</w:t>
      </w:r>
      <w:r>
        <w:t xml:space="preserve"> means, in relation to a person (first-mentioned person):</w:t>
      </w:r>
    </w:p>
    <w:p w:rsidR="00025445" w:rsidRDefault="006D4E7B">
      <w:pPr>
        <w:pStyle w:val="Heading3"/>
      </w:pPr>
      <w:r>
        <w:t xml:space="preserve">a person that Controls or is Controlled by the first-mentioned person; </w:t>
      </w:r>
    </w:p>
    <w:p w:rsidR="00025445" w:rsidRDefault="006D4E7B">
      <w:pPr>
        <w:pStyle w:val="Heading3"/>
      </w:pPr>
      <w:r>
        <w:t>a Related Body Corporate of the first-mentioned person;</w:t>
      </w:r>
      <w:r>
        <w:t xml:space="preserve"> and</w:t>
      </w:r>
    </w:p>
    <w:p w:rsidR="00025445" w:rsidRDefault="006D4E7B">
      <w:pPr>
        <w:pStyle w:val="Heading3"/>
      </w:pPr>
      <w:r>
        <w:t>in the case of the Investor, includes any fund or other vehicle managed or advised by the Investor.</w:t>
      </w:r>
    </w:p>
    <w:p w:rsidR="00025445" w:rsidRDefault="006D4E7B">
      <w:pPr>
        <w:pStyle w:val="bodytext2"/>
      </w:pPr>
      <w:r>
        <w:rPr>
          <w:b/>
        </w:rPr>
        <w:t>Bad Leaver</w:t>
      </w:r>
      <w:r>
        <w:rPr>
          <w:rStyle w:val="FootnoteReference"/>
          <w:b/>
        </w:rPr>
        <w:footnoteReference w:id="1"/>
      </w:r>
      <w:r>
        <w:t xml:space="preserve"> means a person who ceases to be employed or engaged by a Group Company, as a result of his or her:</w:t>
      </w:r>
    </w:p>
    <w:p w:rsidR="00025445" w:rsidRDefault="006D4E7B">
      <w:pPr>
        <w:pStyle w:val="Heading3"/>
        <w:numPr>
          <w:ilvl w:val="2"/>
          <w:numId w:val="27"/>
        </w:numPr>
      </w:pPr>
      <w:r>
        <w:t>resignation within [</w:t>
      </w:r>
      <w:r>
        <w:rPr>
          <w:highlight w:val="yellow"/>
        </w:rPr>
        <w:t>insert</w:t>
      </w:r>
      <w:r>
        <w:t>]</w:t>
      </w:r>
      <w:r>
        <w:rPr>
          <w:rStyle w:val="FootnoteReference"/>
        </w:rPr>
        <w:footnoteReference w:id="2"/>
      </w:r>
      <w:r>
        <w:t xml:space="preserve"> years of th</w:t>
      </w:r>
      <w:r>
        <w:t>e date of this agreement</w:t>
      </w:r>
      <w:r>
        <w:rPr>
          <w:rStyle w:val="FootnoteReference"/>
        </w:rPr>
        <w:footnoteReference w:id="3"/>
      </w:r>
      <w:r>
        <w:t>;</w:t>
      </w:r>
    </w:p>
    <w:p w:rsidR="00025445" w:rsidRDefault="006D4E7B">
      <w:pPr>
        <w:pStyle w:val="Heading3"/>
      </w:pPr>
      <w:r>
        <w:t xml:space="preserve">termination by the Company with cause, including because he or she has committed: </w:t>
      </w:r>
    </w:p>
    <w:p w:rsidR="00025445" w:rsidRDefault="006D4E7B">
      <w:pPr>
        <w:pStyle w:val="Heading4"/>
      </w:pPr>
      <w:r>
        <w:lastRenderedPageBreak/>
        <w:t xml:space="preserve">fraud; </w:t>
      </w:r>
    </w:p>
    <w:p w:rsidR="00025445" w:rsidRDefault="006D4E7B">
      <w:pPr>
        <w:pStyle w:val="Heading4"/>
      </w:pPr>
      <w:r>
        <w:t xml:space="preserve">an indictable criminal offence; </w:t>
      </w:r>
    </w:p>
    <w:p w:rsidR="00025445" w:rsidRDefault="006D4E7B">
      <w:pPr>
        <w:pStyle w:val="Heading4"/>
      </w:pPr>
      <w:r>
        <w:t>a breach of a restrictive covenant; or</w:t>
      </w:r>
    </w:p>
    <w:p w:rsidR="00025445" w:rsidRDefault="006D4E7B">
      <w:pPr>
        <w:pStyle w:val="Heading4"/>
      </w:pPr>
      <w:r>
        <w:t>a material breach of his or her employment or consulting agreement</w:t>
      </w:r>
      <w:r>
        <w:t>.</w:t>
      </w:r>
    </w:p>
    <w:p w:rsidR="00025445" w:rsidRDefault="006D4E7B">
      <w:pPr>
        <w:pStyle w:val="bodytext2"/>
      </w:pPr>
      <w:r>
        <w:rPr>
          <w:b/>
        </w:rPr>
        <w:t>Board</w:t>
      </w:r>
      <w:r>
        <w:t xml:space="preserve"> means the board of Directors of the Company.</w:t>
      </w:r>
    </w:p>
    <w:p w:rsidR="00025445" w:rsidRDefault="006D4E7B">
      <w:pPr>
        <w:pStyle w:val="bodytext2"/>
      </w:pPr>
      <w:r>
        <w:rPr>
          <w:b/>
        </w:rPr>
        <w:t>Business</w:t>
      </w:r>
      <w:r>
        <w:t xml:space="preserve"> means the business of the Group as at the date of this agreement being [</w:t>
      </w:r>
      <w:r>
        <w:rPr>
          <w:highlight w:val="yellow"/>
        </w:rPr>
        <w:t>insert</w:t>
      </w:r>
      <w:r>
        <w:t>] and as modified from time to time.</w:t>
      </w:r>
      <w:r>
        <w:rPr>
          <w:rStyle w:val="FootnoteReference"/>
        </w:rPr>
        <w:footnoteReference w:id="4"/>
      </w:r>
    </w:p>
    <w:p w:rsidR="00025445" w:rsidRDefault="006D4E7B">
      <w:pPr>
        <w:pStyle w:val="bodytext2"/>
      </w:pPr>
      <w:r>
        <w:rPr>
          <w:b/>
        </w:rPr>
        <w:t>Business Day</w:t>
      </w:r>
      <w:r>
        <w:t xml:space="preserve"> means a day on which banks are open for general banking business in [</w:t>
      </w:r>
      <w:r>
        <w:rPr>
          <w:highlight w:val="yellow"/>
        </w:rPr>
        <w:t>Sydney</w:t>
      </w:r>
      <w:r>
        <w:t>], excluding Saturdays, Sundays and public holidays.</w:t>
      </w:r>
    </w:p>
    <w:p w:rsidR="00025445" w:rsidRDefault="006D4E7B">
      <w:pPr>
        <w:pStyle w:val="bodytext2"/>
      </w:pPr>
      <w:r>
        <w:rPr>
          <w:b/>
        </w:rPr>
        <w:t>Confidential Information</w:t>
      </w:r>
      <w:r>
        <w:t xml:space="preserve"> means information disclosed by or on behalf of one party to another party in connection with this agre</w:t>
      </w:r>
      <w:r>
        <w:t>ement which has been designated as confidential by the party disclosing the information, or information which by its nature should reasonably be considered to be confidential, but does not include:</w:t>
      </w:r>
    </w:p>
    <w:p w:rsidR="00025445" w:rsidRDefault="006D4E7B">
      <w:pPr>
        <w:pStyle w:val="Heading3"/>
        <w:numPr>
          <w:ilvl w:val="2"/>
          <w:numId w:val="28"/>
        </w:numPr>
      </w:pPr>
      <w:r>
        <w:t xml:space="preserve">any information which is in the public domain at the time </w:t>
      </w:r>
      <w:r>
        <w:t xml:space="preserve">of its disclosure or subsequently becomes part of the public domain other than as a result of a breach by the person receiving the Confidential Information of clause </w:t>
      </w:r>
      <w:r>
        <w:fldChar w:fldCharType="begin"/>
      </w:r>
      <w:r>
        <w:instrText xml:space="preserve"> REF _Ref448880195 \w \h </w:instrText>
      </w:r>
      <w:r>
        <w:fldChar w:fldCharType="separate"/>
      </w:r>
      <w:r>
        <w:t>14.1</w:t>
      </w:r>
      <w:r>
        <w:fldChar w:fldCharType="end"/>
      </w:r>
      <w:r>
        <w:t xml:space="preserve">; </w:t>
      </w:r>
    </w:p>
    <w:p w:rsidR="00025445" w:rsidRDefault="006D4E7B">
      <w:pPr>
        <w:pStyle w:val="Heading3"/>
      </w:pPr>
      <w:r>
        <w:t>any information that was known to the party receiving the Confidential Information at the time of disclosure of the confidential information except as a result of a prior confidential disclosure by the party disclosing the Confidential Information</w:t>
      </w:r>
      <w:r>
        <w:t>; or</w:t>
      </w:r>
    </w:p>
    <w:p w:rsidR="00025445" w:rsidRDefault="006D4E7B">
      <w:pPr>
        <w:pStyle w:val="Heading3"/>
      </w:pPr>
      <w:r>
        <w:t>any information that is disclosed to the party receiving the Confidential Information by any third party who is not known to the party receiving the Confidential Information to be acting in breach of a confidentiality obligation owed to the party disc</w:t>
      </w:r>
      <w:r>
        <w:t>losing the Confidential Information.</w:t>
      </w:r>
    </w:p>
    <w:p w:rsidR="00025445" w:rsidRDefault="006D4E7B">
      <w:pPr>
        <w:pStyle w:val="bodytext2"/>
      </w:pPr>
      <w:r>
        <w:rPr>
          <w:b/>
        </w:rPr>
        <w:t>Constitution</w:t>
      </w:r>
      <w:r>
        <w:t xml:space="preserve"> means the constitution of the Company, as amended from time to time.</w:t>
      </w:r>
    </w:p>
    <w:p w:rsidR="00025445" w:rsidRDefault="006D4E7B">
      <w:pPr>
        <w:pStyle w:val="bodytext2"/>
      </w:pPr>
      <w:r>
        <w:rPr>
          <w:b/>
        </w:rPr>
        <w:t>Control</w:t>
      </w:r>
      <w:r>
        <w:t xml:space="preserve"> has the same meaning given to it in section 50AA of the Corporations Act, and </w:t>
      </w:r>
      <w:r>
        <w:rPr>
          <w:b/>
        </w:rPr>
        <w:t>Controls</w:t>
      </w:r>
      <w:r>
        <w:t xml:space="preserve"> and </w:t>
      </w:r>
      <w:r>
        <w:rPr>
          <w:b/>
        </w:rPr>
        <w:t>Controlled</w:t>
      </w:r>
      <w:r>
        <w:t xml:space="preserve"> shall be construed accordin</w:t>
      </w:r>
      <w:r>
        <w:t>gly. .</w:t>
      </w:r>
    </w:p>
    <w:p w:rsidR="00025445" w:rsidRDefault="006D4E7B">
      <w:pPr>
        <w:pStyle w:val="bodytext2"/>
      </w:pPr>
      <w:r>
        <w:rPr>
          <w:b/>
        </w:rPr>
        <w:t>Corporations Act</w:t>
      </w:r>
      <w:r>
        <w:t xml:space="preserve"> means the </w:t>
      </w:r>
      <w:r>
        <w:rPr>
          <w:i/>
        </w:rPr>
        <w:t>Corporations Act 2001</w:t>
      </w:r>
      <w:r>
        <w:t xml:space="preserve"> (Cth) as amended.</w:t>
      </w:r>
    </w:p>
    <w:p w:rsidR="00025445" w:rsidRDefault="006D4E7B">
      <w:pPr>
        <w:pStyle w:val="bodytext2"/>
      </w:pPr>
      <w:r>
        <w:rPr>
          <w:b/>
        </w:rPr>
        <w:t>Deed of Accession</w:t>
      </w:r>
      <w:r>
        <w:t xml:space="preserve"> means a deed poll in a form attached as Annexure A.</w:t>
      </w:r>
    </w:p>
    <w:p w:rsidR="00025445" w:rsidRDefault="006D4E7B">
      <w:pPr>
        <w:pStyle w:val="bodytext2"/>
      </w:pPr>
      <w:r>
        <w:rPr>
          <w:b/>
        </w:rPr>
        <w:t>Director</w:t>
      </w:r>
      <w:r>
        <w:t xml:space="preserve"> means a director of the Company.</w:t>
      </w:r>
    </w:p>
    <w:p w:rsidR="00025445" w:rsidRDefault="006D4E7B">
      <w:pPr>
        <w:pStyle w:val="bodytext2"/>
      </w:pPr>
      <w:r>
        <w:rPr>
          <w:b/>
        </w:rPr>
        <w:t>Dispose</w:t>
      </w:r>
      <w:r>
        <w:t xml:space="preserve"> means to sell, assign, transfer, convey, exchange, create a Security Interest over or otherwise dispose of a legal or beneficial interest and </w:t>
      </w:r>
      <w:r>
        <w:rPr>
          <w:b/>
        </w:rPr>
        <w:t>Disposal</w:t>
      </w:r>
      <w:r>
        <w:t xml:space="preserve"> shall be construed accordingly.</w:t>
      </w:r>
    </w:p>
    <w:p w:rsidR="00025445" w:rsidRDefault="006D4E7B">
      <w:pPr>
        <w:pStyle w:val="bodytext2"/>
      </w:pPr>
      <w:r>
        <w:rPr>
          <w:b/>
        </w:rPr>
        <w:lastRenderedPageBreak/>
        <w:t>Excluded Issue</w:t>
      </w:r>
      <w:r>
        <w:t xml:space="preserve"> means:</w:t>
      </w:r>
      <w:r>
        <w:rPr>
          <w:rStyle w:val="FootnoteReference"/>
        </w:rPr>
        <w:footnoteReference w:id="5"/>
      </w:r>
    </w:p>
    <w:p w:rsidR="00025445" w:rsidRDefault="006D4E7B">
      <w:pPr>
        <w:pStyle w:val="Heading3"/>
        <w:numPr>
          <w:ilvl w:val="2"/>
          <w:numId w:val="29"/>
        </w:numPr>
      </w:pPr>
      <w:r>
        <w:t>an issue of Securities under a Share Plan;</w:t>
      </w:r>
    </w:p>
    <w:p w:rsidR="00025445" w:rsidRDefault="006D4E7B">
      <w:pPr>
        <w:pStyle w:val="Heading3"/>
      </w:pPr>
      <w:r>
        <w:t>Securi</w:t>
      </w:r>
      <w:r>
        <w:t xml:space="preserve">ties issued in connection with share splits or the issue of dividends which is approved by a Required Resolution of the Board; </w:t>
      </w:r>
    </w:p>
    <w:p w:rsidR="00025445" w:rsidRDefault="006D4E7B">
      <w:pPr>
        <w:pStyle w:val="Heading3"/>
      </w:pPr>
      <w:r>
        <w:t>Securities issued as part of an IPO which is approved by a Required Resolution of the Board; or</w:t>
      </w:r>
    </w:p>
    <w:p w:rsidR="00025445" w:rsidRDefault="006D4E7B">
      <w:pPr>
        <w:pStyle w:val="Heading3"/>
      </w:pPr>
      <w:r>
        <w:t>Securities constituting all or p</w:t>
      </w:r>
      <w:r>
        <w:t>art of the consideration for a bona-fide acquisition of assets or shares by the Group which is approved by a Required Resolution of the Board.</w:t>
      </w:r>
    </w:p>
    <w:p w:rsidR="00025445" w:rsidRDefault="006D4E7B">
      <w:pPr>
        <w:pStyle w:val="bodytext2"/>
      </w:pPr>
      <w:r>
        <w:rPr>
          <w:b/>
        </w:rPr>
        <w:t>Financial Year</w:t>
      </w:r>
      <w:r>
        <w:t xml:space="preserve"> means a period of 12 consecutive calendar months ending on 30 June or on another day decided by th</w:t>
      </w:r>
      <w:r>
        <w:t>e Board.</w:t>
      </w:r>
    </w:p>
    <w:p w:rsidR="00025445" w:rsidRDefault="006D4E7B">
      <w:pPr>
        <w:pStyle w:val="bodytext2"/>
      </w:pPr>
      <w:r>
        <w:rPr>
          <w:b/>
        </w:rPr>
        <w:t>Founder</w:t>
      </w:r>
      <w:r>
        <w:t xml:space="preserve"> means each party listed as a “Founder” in Schedule 1 and, if there is more than one party listed as a "Founder' in Schedule 1, then together they are the </w:t>
      </w:r>
      <w:r>
        <w:rPr>
          <w:b/>
        </w:rPr>
        <w:t>Founders</w:t>
      </w:r>
      <w:r>
        <w:t>.</w:t>
      </w:r>
    </w:p>
    <w:p w:rsidR="00025445" w:rsidRDefault="006D4E7B">
      <w:pPr>
        <w:pStyle w:val="bodytext2"/>
      </w:pPr>
      <w:r>
        <w:rPr>
          <w:b/>
        </w:rPr>
        <w:t>Founder Entity</w:t>
      </w:r>
      <w:r>
        <w:t xml:space="preserve"> means a Founder (if Shares are held directly by the Founder)</w:t>
      </w:r>
      <w:r>
        <w:t xml:space="preserve"> and/or an Affiliate of the Founder (if Shares of a Founder are held by a nominee).</w:t>
      </w:r>
    </w:p>
    <w:p w:rsidR="00025445" w:rsidRDefault="006D4E7B">
      <w:pPr>
        <w:pStyle w:val="bodytext2"/>
      </w:pPr>
      <w:r>
        <w:rPr>
          <w:b/>
        </w:rPr>
        <w:t>Government Agency</w:t>
      </w:r>
      <w:r>
        <w:t xml:space="preserve"> means any government or governmental, semi-governmental, administrative, fiscal or judicial body, department, commission, authority, tribunal, agency or e</w:t>
      </w:r>
      <w:r>
        <w:t>ntity whether foreign, federal, state, territorial or local.</w:t>
      </w:r>
    </w:p>
    <w:p w:rsidR="00025445" w:rsidRDefault="006D4E7B">
      <w:pPr>
        <w:pStyle w:val="bodytext2"/>
      </w:pPr>
      <w:r>
        <w:rPr>
          <w:b/>
        </w:rPr>
        <w:t>Group</w:t>
      </w:r>
      <w:r>
        <w:t xml:space="preserve"> means the Company and the Subsidiaries, and </w:t>
      </w:r>
      <w:r>
        <w:rPr>
          <w:b/>
        </w:rPr>
        <w:t>Group Company</w:t>
      </w:r>
      <w:r>
        <w:t xml:space="preserve"> means any one of them.</w:t>
      </w:r>
    </w:p>
    <w:p w:rsidR="00025445" w:rsidRDefault="006D4E7B">
      <w:pPr>
        <w:pStyle w:val="bodytext2"/>
      </w:pPr>
      <w:r>
        <w:rPr>
          <w:b/>
        </w:rPr>
        <w:t>Independent Expert</w:t>
      </w:r>
      <w:r>
        <w:t xml:space="preserve"> means a reputable and qualified independent expert who is independent of the relevant par</w:t>
      </w:r>
      <w:r>
        <w:t>ties.</w:t>
      </w:r>
    </w:p>
    <w:p w:rsidR="00025445" w:rsidRDefault="006D4E7B">
      <w:pPr>
        <w:pStyle w:val="bodytext2"/>
      </w:pPr>
      <w:r>
        <w:rPr>
          <w:b/>
        </w:rPr>
        <w:t>Intellectual Property Rights</w:t>
      </w:r>
      <w:r>
        <w:t xml:space="preserve"> means all present and future rights to:</w:t>
      </w:r>
    </w:p>
    <w:p w:rsidR="00025445" w:rsidRDefault="006D4E7B">
      <w:pPr>
        <w:pStyle w:val="Heading3"/>
        <w:numPr>
          <w:ilvl w:val="2"/>
          <w:numId w:val="30"/>
        </w:numPr>
      </w:pPr>
      <w:r>
        <w:t>trade marks, trade names, domain names, logos, get-up, patents, inventions, registered and unregistered design rights, copyrights, circuit layout rights, and all similar rights in a</w:t>
      </w:r>
      <w:r>
        <w:t>ny part of the world (including know-how); and</w:t>
      </w:r>
    </w:p>
    <w:p w:rsidR="00025445" w:rsidRDefault="006D4E7B">
      <w:pPr>
        <w:pStyle w:val="Heading3"/>
      </w:pPr>
      <w:r>
        <w:t>where the rights referred to in paragraph (a) are obtained or enhanced by registration, any registration of such rights and applications and rights to apply for such applications.</w:t>
      </w:r>
    </w:p>
    <w:p w:rsidR="00025445" w:rsidRDefault="006D4E7B">
      <w:pPr>
        <w:pStyle w:val="bodytext2"/>
      </w:pPr>
      <w:r>
        <w:rPr>
          <w:b/>
        </w:rPr>
        <w:t>Investor</w:t>
      </w:r>
      <w:r>
        <w:t xml:space="preserve"> means each party lis</w:t>
      </w:r>
      <w:r>
        <w:t>ted as an “Investor” in Schedule 1, and being a Shareholder holding Seed Preference Shares.</w:t>
      </w:r>
    </w:p>
    <w:p w:rsidR="00025445" w:rsidRDefault="006D4E7B">
      <w:pPr>
        <w:pStyle w:val="bodytext2"/>
      </w:pPr>
      <w:r>
        <w:rPr>
          <w:b/>
        </w:rPr>
        <w:lastRenderedPageBreak/>
        <w:t>IPO</w:t>
      </w:r>
      <w:r>
        <w:t xml:space="preserve"> means an initial public offering of Shares or shares in a holding company of the Company in conjunction with a listing or quotation of Shares or shares in a holding company of the Company on a recognised stock exchange.</w:t>
      </w:r>
    </w:p>
    <w:p w:rsidR="00025445" w:rsidRDefault="006D4E7B">
      <w:pPr>
        <w:pStyle w:val="bodytext2"/>
      </w:pPr>
      <w:r>
        <w:rPr>
          <w:b/>
        </w:rPr>
        <w:t>Law</w:t>
      </w:r>
      <w:r>
        <w:t xml:space="preserve"> includes:</w:t>
      </w:r>
    </w:p>
    <w:p w:rsidR="00025445" w:rsidRDefault="006D4E7B">
      <w:pPr>
        <w:pStyle w:val="Heading3"/>
        <w:numPr>
          <w:ilvl w:val="2"/>
          <w:numId w:val="31"/>
        </w:numPr>
      </w:pPr>
      <w:r>
        <w:t>any statute, regulati</w:t>
      </w:r>
      <w:r>
        <w:t>on, rule, by-law, ordinance, proclamation, judgement, treaty, decree, convention, rule or principle of common law or equity, rule of any applicable stock exchange, or requirement or approval (including any Government Agency);</w:t>
      </w:r>
    </w:p>
    <w:p w:rsidR="00025445" w:rsidRDefault="006D4E7B">
      <w:pPr>
        <w:pStyle w:val="Heading3"/>
      </w:pPr>
      <w:r>
        <w:t xml:space="preserve">any regulation, rule, by-law, </w:t>
      </w:r>
      <w:r>
        <w:t>ordinance, proclamation or judgement made under that law; and</w:t>
      </w:r>
    </w:p>
    <w:p w:rsidR="00025445" w:rsidRDefault="006D4E7B">
      <w:pPr>
        <w:pStyle w:val="Heading3"/>
      </w:pPr>
      <w:r>
        <w:t>that law as amended, consolidated, supplemented, re-enacted or replaced.</w:t>
      </w:r>
    </w:p>
    <w:p w:rsidR="00025445" w:rsidRDefault="006D4E7B">
      <w:pPr>
        <w:pStyle w:val="bodytext2"/>
      </w:pPr>
      <w:r>
        <w:rPr>
          <w:b/>
        </w:rPr>
        <w:t>Ordinary Share</w:t>
      </w:r>
      <w:r>
        <w:t xml:space="preserve"> means an ordinary share in the capital of the Company.</w:t>
      </w:r>
    </w:p>
    <w:p w:rsidR="00025445" w:rsidRDefault="006D4E7B">
      <w:pPr>
        <w:pStyle w:val="bodytext2"/>
      </w:pPr>
      <w:r>
        <w:rPr>
          <w:b/>
        </w:rPr>
        <w:t>Related Body Corporate</w:t>
      </w:r>
      <w:r>
        <w:t xml:space="preserve"> has the same meaning as in s</w:t>
      </w:r>
      <w:r>
        <w:t>ection 9 of the Corporations Act.</w:t>
      </w:r>
    </w:p>
    <w:p w:rsidR="00025445" w:rsidRDefault="006D4E7B">
      <w:pPr>
        <w:pStyle w:val="bodytext2"/>
      </w:pPr>
      <w:r>
        <w:rPr>
          <w:b/>
        </w:rPr>
        <w:t>Representative</w:t>
      </w:r>
      <w:r>
        <w:t xml:space="preserve"> in respect of a person means an officer, employee, auditor, banker or professional adviser of that person.</w:t>
      </w:r>
    </w:p>
    <w:p w:rsidR="00025445" w:rsidRDefault="006D4E7B">
      <w:pPr>
        <w:pStyle w:val="bodytext2"/>
        <w:keepNext/>
        <w:ind w:left="677"/>
      </w:pPr>
      <w:r>
        <w:rPr>
          <w:b/>
        </w:rPr>
        <w:t>Required Resolution</w:t>
      </w:r>
      <w:r>
        <w:t xml:space="preserve"> means a resolution:</w:t>
      </w:r>
      <w:r>
        <w:rPr>
          <w:rStyle w:val="FootnoteReference"/>
        </w:rPr>
        <w:footnoteReference w:id="6"/>
      </w:r>
    </w:p>
    <w:p w:rsidR="00025445" w:rsidRDefault="006D4E7B">
      <w:pPr>
        <w:pStyle w:val="Heading3"/>
        <w:numPr>
          <w:ilvl w:val="2"/>
          <w:numId w:val="32"/>
        </w:numPr>
      </w:pPr>
      <w:r>
        <w:t>approved by [</w:t>
      </w:r>
      <w:r>
        <w:rPr>
          <w:highlight w:val="yellow"/>
        </w:rPr>
        <w:t>75</w:t>
      </w:r>
      <w:r>
        <w:t>]% or more of the Directors entitled to vote</w:t>
      </w:r>
      <w:r>
        <w:t xml:space="preserve">, provided that such majority must include any Director appointed under clause </w:t>
      </w:r>
      <w:r>
        <w:fldChar w:fldCharType="begin"/>
      </w:r>
      <w:r>
        <w:instrText xml:space="preserve"> REF _Ref448880215 \w \h </w:instrText>
      </w:r>
      <w:r>
        <w:fldChar w:fldCharType="separate"/>
      </w:r>
      <w:r>
        <w:t>3.2(b)</w:t>
      </w:r>
      <w:r>
        <w:fldChar w:fldCharType="end"/>
      </w:r>
      <w:r>
        <w:t>; or</w:t>
      </w:r>
    </w:p>
    <w:p w:rsidR="00025445" w:rsidRDefault="006D4E7B">
      <w:pPr>
        <w:pStyle w:val="Heading3"/>
      </w:pPr>
      <w:r>
        <w:t xml:space="preserve">identified in a document where all those persons entitled to vote on the resolution sign a statement that they are in favour of the resolution set out in the document. </w:t>
      </w:r>
    </w:p>
    <w:p w:rsidR="00025445" w:rsidRDefault="006D4E7B">
      <w:pPr>
        <w:pStyle w:val="bodytext2"/>
      </w:pPr>
      <w:r>
        <w:rPr>
          <w:b/>
        </w:rPr>
        <w:t>Respective Proportion</w:t>
      </w:r>
      <w:r>
        <w:t xml:space="preserve"> means in respect of each Shareholder, the proportion that the agg</w:t>
      </w:r>
      <w:r>
        <w:t xml:space="preserve">regate number of Shares held by that Shareholder bears to the aggregate number of Shares on issue at the relevant time, except that for the purposes of clause </w:t>
      </w:r>
      <w:r>
        <w:fldChar w:fldCharType="begin"/>
      </w:r>
      <w:r>
        <w:instrText xml:space="preserve"> REF _Ref448880223 \w \h </w:instrText>
      </w:r>
      <w:r>
        <w:fldChar w:fldCharType="separate"/>
      </w:r>
      <w:r>
        <w:t>9.3</w:t>
      </w:r>
      <w:r>
        <w:fldChar w:fldCharType="end"/>
      </w:r>
      <w:r>
        <w:t xml:space="preserve">, </w:t>
      </w:r>
      <w:r>
        <w:t>the Seller’s Shares are excluded from the number of issued Shares.</w:t>
      </w:r>
      <w:r>
        <w:rPr>
          <w:rStyle w:val="FootnoteReference"/>
        </w:rPr>
        <w:footnoteReference w:id="7"/>
      </w:r>
    </w:p>
    <w:p w:rsidR="00025445" w:rsidRDefault="006D4E7B">
      <w:pPr>
        <w:pStyle w:val="bodytext2"/>
      </w:pPr>
      <w:r>
        <w:rPr>
          <w:b/>
        </w:rPr>
        <w:t>Security</w:t>
      </w:r>
      <w:r>
        <w:t xml:space="preserve"> means a security of the Company and includes the Shares, options, any convertible notes, warrants or other securities capable of conversion into Shares issued by the Company.</w:t>
      </w:r>
    </w:p>
    <w:p w:rsidR="00025445" w:rsidRDefault="006D4E7B">
      <w:pPr>
        <w:pStyle w:val="bodytext2"/>
      </w:pPr>
      <w:r>
        <w:rPr>
          <w:b/>
        </w:rPr>
        <w:t>Secu</w:t>
      </w:r>
      <w:r>
        <w:rPr>
          <w:b/>
        </w:rPr>
        <w:t>rity Interest</w:t>
      </w:r>
      <w:r>
        <w:t xml:space="preserve"> means:</w:t>
      </w:r>
    </w:p>
    <w:p w:rsidR="00025445" w:rsidRDefault="006D4E7B">
      <w:pPr>
        <w:pStyle w:val="Heading3"/>
        <w:numPr>
          <w:ilvl w:val="2"/>
          <w:numId w:val="33"/>
        </w:numPr>
      </w:pPr>
      <w:r>
        <w:t xml:space="preserve">a 'security interest' as defined in the </w:t>
      </w:r>
      <w:r>
        <w:rPr>
          <w:i/>
        </w:rPr>
        <w:t>Personal Property Securities Act 2009</w:t>
      </w:r>
      <w:r>
        <w:t xml:space="preserve"> (Cth);</w:t>
      </w:r>
    </w:p>
    <w:p w:rsidR="00025445" w:rsidRDefault="006D4E7B">
      <w:pPr>
        <w:pStyle w:val="Heading3"/>
      </w:pPr>
      <w:r>
        <w:lastRenderedPageBreak/>
        <w:t>any third party rights or interests including a mortgage, lien, charge, pledge, assignment by way of security, security interest, encumbrance, title r</w:t>
      </w:r>
      <w:r>
        <w:t>etention, preferential right or trust arrangement, claim, covenant, easement or any other security arrangement or any other arrangement having the same effect;</w:t>
      </w:r>
    </w:p>
    <w:p w:rsidR="00025445" w:rsidRDefault="006D4E7B">
      <w:pPr>
        <w:pStyle w:val="Heading3"/>
      </w:pPr>
      <w:r>
        <w:t>a right, interest or arrangement which has the effect of giving another person priority over cre</w:t>
      </w:r>
      <w:r>
        <w:t>ditors including any right of set-off;</w:t>
      </w:r>
    </w:p>
    <w:p w:rsidR="00025445" w:rsidRDefault="006D4E7B">
      <w:pPr>
        <w:pStyle w:val="Heading3"/>
      </w:pPr>
      <w:r>
        <w:t>a right that a person (other than the owner) has to remove something from land (known as a profit à pendre), easement, public right of way, restrictive or positive covenant, lease, or licence to use or occupy; or</w:t>
      </w:r>
    </w:p>
    <w:p w:rsidR="00025445" w:rsidRDefault="006D4E7B">
      <w:pPr>
        <w:pStyle w:val="Heading3"/>
      </w:pPr>
      <w:r>
        <w:t>an a</w:t>
      </w:r>
      <w:r>
        <w:t>greement to create any of them or allow them to exist.</w:t>
      </w:r>
    </w:p>
    <w:p w:rsidR="00025445" w:rsidRDefault="006D4E7B">
      <w:pPr>
        <w:pStyle w:val="bodytext2"/>
      </w:pPr>
      <w:r>
        <w:rPr>
          <w:b/>
        </w:rPr>
        <w:t>Seed Preference Shares</w:t>
      </w:r>
      <w:r>
        <w:t xml:space="preserve"> means seed preference shares in the capital of the Company having the rights set out in the Constitution.</w:t>
      </w:r>
    </w:p>
    <w:p w:rsidR="00025445" w:rsidRDefault="006D4E7B">
      <w:pPr>
        <w:pStyle w:val="bodytext2"/>
      </w:pPr>
      <w:r>
        <w:rPr>
          <w:b/>
        </w:rPr>
        <w:t>Share</w:t>
      </w:r>
      <w:r>
        <w:t xml:space="preserve"> means:</w:t>
      </w:r>
    </w:p>
    <w:p w:rsidR="00025445" w:rsidRDefault="006D4E7B">
      <w:pPr>
        <w:pStyle w:val="Heading3"/>
        <w:numPr>
          <w:ilvl w:val="2"/>
          <w:numId w:val="34"/>
        </w:numPr>
      </w:pPr>
      <w:r>
        <w:t xml:space="preserve">an Ordinary Share; </w:t>
      </w:r>
    </w:p>
    <w:p w:rsidR="00025445" w:rsidRDefault="006D4E7B">
      <w:pPr>
        <w:pStyle w:val="Heading3"/>
      </w:pPr>
      <w:r>
        <w:t>a Seed Preference Share; and</w:t>
      </w:r>
    </w:p>
    <w:p w:rsidR="00025445" w:rsidRDefault="006D4E7B">
      <w:pPr>
        <w:pStyle w:val="Heading3"/>
      </w:pPr>
      <w:r>
        <w:t>a share in</w:t>
      </w:r>
      <w:r>
        <w:t xml:space="preserve"> any other class of shares issued by the Company from time to time, as applicable.</w:t>
      </w:r>
    </w:p>
    <w:p w:rsidR="00025445" w:rsidRDefault="006D4E7B">
      <w:pPr>
        <w:pStyle w:val="bodytext2"/>
      </w:pPr>
      <w:r>
        <w:rPr>
          <w:b/>
        </w:rPr>
        <w:t xml:space="preserve">Share Plan </w:t>
      </w:r>
      <w:r>
        <w:t xml:space="preserve">has the meaning given in clause </w:t>
      </w:r>
      <w:r>
        <w:fldChar w:fldCharType="begin"/>
      </w:r>
      <w:r>
        <w:instrText xml:space="preserve"> REF _Ref449004124 \w \h </w:instrText>
      </w:r>
      <w:r>
        <w:fldChar w:fldCharType="separate"/>
      </w:r>
      <w:r>
        <w:t>7</w:t>
      </w:r>
      <w:r>
        <w:fldChar w:fldCharType="end"/>
      </w:r>
      <w:r>
        <w:t>.</w:t>
      </w:r>
    </w:p>
    <w:p w:rsidR="00025445" w:rsidRDefault="006D4E7B">
      <w:pPr>
        <w:pStyle w:val="bodytext2"/>
      </w:pPr>
      <w:r>
        <w:rPr>
          <w:b/>
        </w:rPr>
        <w:t xml:space="preserve">Share Qualification </w:t>
      </w:r>
      <w:r>
        <w:t>means the requ</w:t>
      </w:r>
      <w:r>
        <w:t xml:space="preserve">ired percentage of shareholding in the issued share capital of the Company to appoint a Director as set out in clause </w:t>
      </w:r>
      <w:r>
        <w:fldChar w:fldCharType="begin"/>
      </w:r>
      <w:r>
        <w:instrText xml:space="preserve"> REF _Ref448880238 \w \h </w:instrText>
      </w:r>
      <w:r>
        <w:fldChar w:fldCharType="separate"/>
      </w:r>
      <w:r>
        <w:t>3.2</w:t>
      </w:r>
      <w:r>
        <w:fldChar w:fldCharType="end"/>
      </w:r>
      <w:r>
        <w:t>.</w:t>
      </w:r>
    </w:p>
    <w:p w:rsidR="00025445" w:rsidRDefault="006D4E7B">
      <w:pPr>
        <w:pStyle w:val="bodytext2"/>
      </w:pPr>
      <w:r>
        <w:rPr>
          <w:b/>
        </w:rPr>
        <w:t>Shareholder</w:t>
      </w:r>
      <w:r>
        <w:t xml:space="preserve"> means a party who holds Shares and, at the date of this agreement, means a party listed in the table in Schedule 1 (other than in respect of the unallocated Share Plan).</w:t>
      </w:r>
    </w:p>
    <w:p w:rsidR="00025445" w:rsidRDefault="006D4E7B">
      <w:pPr>
        <w:pStyle w:val="bodytext2"/>
      </w:pPr>
      <w:r>
        <w:rPr>
          <w:b/>
        </w:rPr>
        <w:t>Special Resolution</w:t>
      </w:r>
      <w:r>
        <w:t xml:space="preserve"> means a resolution:</w:t>
      </w:r>
      <w:r>
        <w:rPr>
          <w:rStyle w:val="FootnoteReference"/>
        </w:rPr>
        <w:footnoteReference w:id="8"/>
      </w:r>
    </w:p>
    <w:p w:rsidR="00025445" w:rsidRDefault="006D4E7B">
      <w:pPr>
        <w:pStyle w:val="Heading3"/>
        <w:numPr>
          <w:ilvl w:val="2"/>
          <w:numId w:val="35"/>
        </w:numPr>
      </w:pPr>
      <w:r>
        <w:t>approved by the holders of 75% or more of the</w:t>
      </w:r>
      <w:r>
        <w:t xml:space="preserve"> issued Shares held by those Shareholders present (by any means) or voting by proxy or representative and entitled to vote; or</w:t>
      </w:r>
    </w:p>
    <w:p w:rsidR="00025445" w:rsidRDefault="006D4E7B">
      <w:pPr>
        <w:pStyle w:val="Heading3"/>
      </w:pPr>
      <w:r>
        <w:t>identified in a document where all those persons entitled to vote on the resolution sign a statement that they are in favour of t</w:t>
      </w:r>
      <w:r>
        <w:t xml:space="preserve">he resolution set out in the document. </w:t>
      </w:r>
    </w:p>
    <w:p w:rsidR="00025445" w:rsidRDefault="006D4E7B">
      <w:pPr>
        <w:pStyle w:val="bodytext2"/>
      </w:pPr>
      <w:r>
        <w:rPr>
          <w:b/>
        </w:rPr>
        <w:t>Subsidiary</w:t>
      </w:r>
      <w:r>
        <w:t xml:space="preserve"> means a subsidiary of the Company as defined by section 9 of the Corporations Act.</w:t>
      </w:r>
    </w:p>
    <w:p w:rsidR="00025445" w:rsidRDefault="006D4E7B">
      <w:pPr>
        <w:pStyle w:val="bodytext2"/>
      </w:pPr>
      <w:r>
        <w:rPr>
          <w:b/>
        </w:rPr>
        <w:t>Unvested Shares</w:t>
      </w:r>
      <w:r>
        <w:t xml:space="preserve"> means any Shares that have not vested pursuant to clause </w:t>
      </w:r>
      <w:r>
        <w:fldChar w:fldCharType="begin"/>
      </w:r>
      <w:r>
        <w:instrText xml:space="preserve"> REF _Ref448880245 \w \h </w:instrText>
      </w:r>
      <w:r>
        <w:fldChar w:fldCharType="separate"/>
      </w:r>
      <w:r>
        <w:t>11</w:t>
      </w:r>
      <w:r>
        <w:fldChar w:fldCharType="end"/>
      </w:r>
      <w:r>
        <w:t>.</w:t>
      </w:r>
    </w:p>
    <w:p w:rsidR="00025445" w:rsidRDefault="006D4E7B">
      <w:pPr>
        <w:pStyle w:val="Heading1"/>
      </w:pPr>
      <w:bookmarkStart w:id="1" w:name="_Toc485213309"/>
      <w:r>
        <w:lastRenderedPageBreak/>
        <w:t>Interpretation</w:t>
      </w:r>
      <w:bookmarkEnd w:id="1"/>
    </w:p>
    <w:p w:rsidR="00025445" w:rsidRDefault="006D4E7B">
      <w:pPr>
        <w:pStyle w:val="bodytext2"/>
      </w:pPr>
      <w:r>
        <w:t>In this agreement, unless context indicates a contrary intention:</w:t>
      </w:r>
    </w:p>
    <w:p w:rsidR="00025445" w:rsidRDefault="006D4E7B">
      <w:pPr>
        <w:pStyle w:val="Heading3"/>
      </w:pPr>
      <w:r>
        <w:t>(</w:t>
      </w:r>
      <w:r>
        <w:rPr>
          <w:b/>
        </w:rPr>
        <w:t>headings</w:t>
      </w:r>
      <w:r>
        <w:t>) clause headings and the table of contents are inserted for convenience only and do not affect interpretation of this</w:t>
      </w:r>
      <w:r>
        <w:t xml:space="preserve"> agreement.</w:t>
      </w:r>
    </w:p>
    <w:p w:rsidR="00025445" w:rsidRDefault="006D4E7B">
      <w:pPr>
        <w:pStyle w:val="Heading3"/>
      </w:pPr>
      <w:r>
        <w:t>(</w:t>
      </w:r>
      <w:r>
        <w:rPr>
          <w:b/>
        </w:rPr>
        <w:t>party</w:t>
      </w:r>
      <w:r>
        <w:t xml:space="preserve">) a reference to a party to a document includes that party’s personal representatives, executors, administrators, successors, substitutes (including persons taking by novation) and permitted assigns. </w:t>
      </w:r>
    </w:p>
    <w:p w:rsidR="00025445" w:rsidRDefault="006D4E7B">
      <w:pPr>
        <w:pStyle w:val="Heading3"/>
      </w:pPr>
      <w:r>
        <w:t>(</w:t>
      </w:r>
      <w:r>
        <w:rPr>
          <w:b/>
        </w:rPr>
        <w:t>including</w:t>
      </w:r>
      <w:r>
        <w:t>) including and includes (a</w:t>
      </w:r>
      <w:r>
        <w:t>nd any other similar expressions) are not words of limitation, and a list of examples is not limited to those items or to items of a similar kind.</w:t>
      </w:r>
    </w:p>
    <w:p w:rsidR="00025445" w:rsidRDefault="006D4E7B">
      <w:pPr>
        <w:pStyle w:val="Heading3"/>
      </w:pPr>
      <w:r>
        <w:t>(</w:t>
      </w:r>
      <w:r>
        <w:rPr>
          <w:b/>
        </w:rPr>
        <w:t>corresponding meanings</w:t>
      </w:r>
      <w:r>
        <w:t>) a word that is derived from a defined word has a corresponding meaning.</w:t>
      </w:r>
    </w:p>
    <w:p w:rsidR="00025445" w:rsidRDefault="006D4E7B">
      <w:pPr>
        <w:pStyle w:val="Heading3"/>
      </w:pPr>
      <w:r>
        <w:t>(</w:t>
      </w:r>
      <w:r>
        <w:rPr>
          <w:b/>
        </w:rPr>
        <w:t>singular</w:t>
      </w:r>
      <w:r>
        <w:t>) t</w:t>
      </w:r>
      <w:r>
        <w:t>he singular includes the plural and vice-versa.</w:t>
      </w:r>
    </w:p>
    <w:p w:rsidR="00025445" w:rsidRDefault="006D4E7B">
      <w:pPr>
        <w:pStyle w:val="Heading3"/>
      </w:pPr>
      <w:r>
        <w:t>(</w:t>
      </w:r>
      <w:r>
        <w:rPr>
          <w:b/>
        </w:rPr>
        <w:t>gender</w:t>
      </w:r>
      <w:r>
        <w:t>) words importing one gender include all other genders.</w:t>
      </w:r>
    </w:p>
    <w:p w:rsidR="00025445" w:rsidRDefault="006D4E7B">
      <w:pPr>
        <w:pStyle w:val="Heading3"/>
      </w:pPr>
      <w:r>
        <w:t>(</w:t>
      </w:r>
      <w:r>
        <w:rPr>
          <w:b/>
        </w:rPr>
        <w:t>rules of construction</w:t>
      </w:r>
      <w:r>
        <w:t>) neither this agreement nor any part of it is to be construed against a party on the basis that the party or its lawyers w</w:t>
      </w:r>
      <w:r>
        <w:t>ere responsible for its drafting.</w:t>
      </w:r>
    </w:p>
    <w:p w:rsidR="00025445" w:rsidRDefault="006D4E7B">
      <w:pPr>
        <w:pStyle w:val="Heading3"/>
      </w:pPr>
      <w:r>
        <w:t>(</w:t>
      </w:r>
      <w:r>
        <w:rPr>
          <w:b/>
        </w:rPr>
        <w:t>legislation</w:t>
      </w:r>
      <w:r>
        <w:t>) a reference to any legislation or provision of legislation includes all amendments, consolidations or replacements and all regulations or instruments issued under it.</w:t>
      </w:r>
    </w:p>
    <w:p w:rsidR="00025445" w:rsidRDefault="006D4E7B">
      <w:pPr>
        <w:pStyle w:val="Heading3"/>
      </w:pPr>
      <w:r>
        <w:t>(</w:t>
      </w:r>
      <w:r>
        <w:rPr>
          <w:b/>
        </w:rPr>
        <w:t>time and date</w:t>
      </w:r>
      <w:r>
        <w:t xml:space="preserve">) a reference to a time or </w:t>
      </w:r>
      <w:r>
        <w:t>date in connection with the performance of an obligation by a party is a reference to the time and date in [</w:t>
      </w:r>
      <w:r>
        <w:rPr>
          <w:highlight w:val="yellow"/>
        </w:rPr>
        <w:t>New South Wales</w:t>
      </w:r>
      <w:r>
        <w:t>], Australia, even if the obligation is to be performed elsewhere.</w:t>
      </w:r>
    </w:p>
    <w:p w:rsidR="00025445" w:rsidRDefault="006D4E7B">
      <w:pPr>
        <w:pStyle w:val="Heading3"/>
      </w:pPr>
      <w:r>
        <w:t>(</w:t>
      </w:r>
      <w:r>
        <w:rPr>
          <w:b/>
        </w:rPr>
        <w:t>writing</w:t>
      </w:r>
      <w:r>
        <w:t>) a reference to a notice, consent, request, approval or o</w:t>
      </w:r>
      <w:r>
        <w:t>ther communication under this agreement or an agreement between the parties means a written notice, request, consent, approval or agreement.</w:t>
      </w:r>
    </w:p>
    <w:p w:rsidR="00025445" w:rsidRDefault="006D4E7B">
      <w:pPr>
        <w:pStyle w:val="Heading3"/>
      </w:pPr>
      <w:r>
        <w:t>(</w:t>
      </w:r>
      <w:r>
        <w:rPr>
          <w:b/>
        </w:rPr>
        <w:t>Australian currency</w:t>
      </w:r>
      <w:r>
        <w:t>) a reference to dollars or $ is to Australian currency.</w:t>
      </w:r>
    </w:p>
    <w:p w:rsidR="00025445" w:rsidRDefault="006D4E7B">
      <w:pPr>
        <w:pStyle w:val="Heading1"/>
      </w:pPr>
      <w:bookmarkStart w:id="2" w:name="_Toc485213310"/>
      <w:r>
        <w:t>Board of Directors</w:t>
      </w:r>
      <w:bookmarkEnd w:id="2"/>
      <w:r>
        <w:t xml:space="preserve"> </w:t>
      </w:r>
    </w:p>
    <w:p w:rsidR="00025445" w:rsidRDefault="006D4E7B">
      <w:pPr>
        <w:pStyle w:val="Heading2"/>
      </w:pPr>
      <w:bookmarkStart w:id="3" w:name="_Toc485213311"/>
      <w:r>
        <w:t>Number of Director</w:t>
      </w:r>
      <w:r>
        <w:t>s</w:t>
      </w:r>
      <w:bookmarkEnd w:id="3"/>
    </w:p>
    <w:p w:rsidR="00025445" w:rsidRDefault="006D4E7B">
      <w:pPr>
        <w:pStyle w:val="bodytext2"/>
      </w:pPr>
      <w:r>
        <w:t>The maximum number of Directors of the Company at any time (excluding alternate Directors) is [</w:t>
      </w:r>
      <w:r>
        <w:rPr>
          <w:highlight w:val="yellow"/>
        </w:rPr>
        <w:t>insert</w:t>
      </w:r>
      <w:r>
        <w:t>], unless the Board determines otherwise by Required Resolution.  [One of the Directors must be an independent Director]</w:t>
      </w:r>
      <w:r>
        <w:rPr>
          <w:rStyle w:val="FootnoteReference"/>
        </w:rPr>
        <w:footnoteReference w:id="9"/>
      </w:r>
      <w:r>
        <w:t>.</w:t>
      </w:r>
    </w:p>
    <w:p w:rsidR="00025445" w:rsidRDefault="006D4E7B">
      <w:pPr>
        <w:pStyle w:val="Heading2"/>
      </w:pPr>
      <w:bookmarkStart w:id="4" w:name="_Ref448880238"/>
      <w:bookmarkStart w:id="5" w:name="_Toc485213312"/>
      <w:r>
        <w:lastRenderedPageBreak/>
        <w:t>Appointment and removal of Dir</w:t>
      </w:r>
      <w:r>
        <w:t>ector by other Shareholders</w:t>
      </w:r>
      <w:bookmarkEnd w:id="4"/>
      <w:r>
        <w:rPr>
          <w:rStyle w:val="FootnoteReference"/>
        </w:rPr>
        <w:footnoteReference w:id="10"/>
      </w:r>
      <w:bookmarkEnd w:id="5"/>
    </w:p>
    <w:p w:rsidR="00025445" w:rsidRDefault="006D4E7B">
      <w:pPr>
        <w:pStyle w:val="Heading3"/>
      </w:pPr>
      <w:bookmarkStart w:id="6" w:name="_Ref448880274"/>
      <w:r>
        <w:t>The Founders or Founder Entities (as applicable) may appoint [</w:t>
      </w:r>
      <w:r>
        <w:rPr>
          <w:highlight w:val="yellow"/>
        </w:rPr>
        <w:t>insert</w:t>
      </w:r>
      <w:r>
        <w:t>] Directors for so long as they hold [</w:t>
      </w:r>
      <w:r>
        <w:rPr>
          <w:highlight w:val="yellow"/>
        </w:rPr>
        <w:t>50</w:t>
      </w:r>
      <w:r>
        <w:t>]% or more of the Shares in aggregate.</w:t>
      </w:r>
      <w:bookmarkEnd w:id="6"/>
      <w:r>
        <w:rPr>
          <w:rStyle w:val="FootnoteReference"/>
        </w:rPr>
        <w:footnoteReference w:id="11"/>
      </w:r>
    </w:p>
    <w:p w:rsidR="00025445" w:rsidRDefault="006D4E7B">
      <w:pPr>
        <w:pStyle w:val="Heading3"/>
      </w:pPr>
      <w:bookmarkStart w:id="7" w:name="_Ref448880215"/>
      <w:r>
        <w:t>Shareholders holding a majority of the Seed Preference Shares may appoint [</w:t>
      </w:r>
      <w:r>
        <w:rPr>
          <w:highlight w:val="yellow"/>
        </w:rPr>
        <w:t>inse</w:t>
      </w:r>
      <w:r>
        <w:rPr>
          <w:highlight w:val="yellow"/>
        </w:rPr>
        <w:t>rt</w:t>
      </w:r>
      <w:r>
        <w:t>] Directors for so long as they hold Shares.</w:t>
      </w:r>
      <w:bookmarkEnd w:id="7"/>
      <w:r>
        <w:rPr>
          <w:rStyle w:val="FootnoteReference"/>
        </w:rPr>
        <w:footnoteReference w:id="12"/>
      </w:r>
      <w:r>
        <w:rPr>
          <w:rStyle w:val="FootnoteReference"/>
        </w:rPr>
        <w:footnoteReference w:id="13"/>
      </w:r>
    </w:p>
    <w:p w:rsidR="00025445" w:rsidRDefault="006D4E7B">
      <w:pPr>
        <w:pStyle w:val="Heading3"/>
      </w:pPr>
      <w:bookmarkStart w:id="8" w:name="_Ref448880281"/>
      <w:r>
        <w:t xml:space="preserve">A Shareholder entitled to appoint a Director under this clause </w:t>
      </w:r>
      <w:r>
        <w:fldChar w:fldCharType="begin"/>
      </w:r>
      <w:r>
        <w:instrText xml:space="preserve"> REF _Ref448880238 \w \h </w:instrText>
      </w:r>
      <w:r>
        <w:fldChar w:fldCharType="separate"/>
      </w:r>
      <w:r>
        <w:t>3.2</w:t>
      </w:r>
      <w:r>
        <w:fldChar w:fldCharType="end"/>
      </w:r>
      <w:r>
        <w:t xml:space="preserve"> may remove and replace that Director by notice </w:t>
      </w:r>
      <w:r>
        <w:t>in writing to the Company.</w:t>
      </w:r>
      <w:bookmarkEnd w:id="8"/>
    </w:p>
    <w:p w:rsidR="00025445" w:rsidRDefault="006D4E7B">
      <w:pPr>
        <w:pStyle w:val="Heading2"/>
      </w:pPr>
      <w:bookmarkStart w:id="9" w:name="_Toc485213313"/>
      <w:r>
        <w:t>Removal of Directors</w:t>
      </w:r>
      <w:r>
        <w:rPr>
          <w:rStyle w:val="FootnoteReference"/>
        </w:rPr>
        <w:footnoteReference w:id="14"/>
      </w:r>
      <w:bookmarkEnd w:id="9"/>
    </w:p>
    <w:p w:rsidR="00025445" w:rsidRDefault="006D4E7B">
      <w:pPr>
        <w:pStyle w:val="bodytext2"/>
      </w:pPr>
      <w:r>
        <w:t xml:space="preserve">A Shareholder that has appointed a Director under clause </w:t>
      </w:r>
      <w:r>
        <w:fldChar w:fldCharType="begin"/>
      </w:r>
      <w:r>
        <w:instrText xml:space="preserve"> REF _Ref448880238 \w \h </w:instrText>
      </w:r>
      <w:r>
        <w:fldChar w:fldCharType="separate"/>
      </w:r>
      <w:r>
        <w:t>3.2</w:t>
      </w:r>
      <w:r>
        <w:fldChar w:fldCharType="end"/>
      </w:r>
      <w:r>
        <w:t xml:space="preserve"> must remove that Director from the Board by giving wr</w:t>
      </w:r>
      <w:r>
        <w:t>itten notice to the Company and must ensure that the Director resigns as a director of all relevant Group Companies and committees of the Board, if:</w:t>
      </w:r>
    </w:p>
    <w:p w:rsidR="00025445" w:rsidRDefault="006D4E7B">
      <w:pPr>
        <w:pStyle w:val="Heading3"/>
      </w:pPr>
      <w:r>
        <w:t xml:space="preserve">at any time that Shareholder does not meet the requisite Share Qualification for the appointment of the </w:t>
      </w:r>
      <w:r>
        <w:t>relevant Director; or</w:t>
      </w:r>
    </w:p>
    <w:p w:rsidR="00025445" w:rsidRDefault="006D4E7B">
      <w:pPr>
        <w:pStyle w:val="Heading3"/>
      </w:pPr>
      <w:r>
        <w:t>the Director:</w:t>
      </w:r>
    </w:p>
    <w:p w:rsidR="00025445" w:rsidRDefault="006D4E7B">
      <w:pPr>
        <w:pStyle w:val="Heading4"/>
      </w:pPr>
      <w:r>
        <w:t>becomes incapable of managing his or her own affairs due to a medical or mental condition (as evidenced by a certificate to that effect by a qualified medical practitioner); or</w:t>
      </w:r>
    </w:p>
    <w:p w:rsidR="00025445" w:rsidRDefault="006D4E7B">
      <w:pPr>
        <w:pStyle w:val="Heading4"/>
      </w:pPr>
      <w:r>
        <w:t xml:space="preserve">is precluded from taking part in the </w:t>
      </w:r>
      <w:r>
        <w:t>management of a corporation under the provisions of Part 2D of the Corporations Act.</w:t>
      </w:r>
    </w:p>
    <w:p w:rsidR="00025445" w:rsidRDefault="006D4E7B">
      <w:pPr>
        <w:pStyle w:val="Heading2"/>
      </w:pPr>
      <w:bookmarkStart w:id="10" w:name="_Toc485213314"/>
      <w:r>
        <w:t>Notice of appointment or removal</w:t>
      </w:r>
      <w:bookmarkEnd w:id="10"/>
    </w:p>
    <w:p w:rsidR="00025445" w:rsidRDefault="006D4E7B">
      <w:pPr>
        <w:pStyle w:val="Heading3"/>
      </w:pPr>
      <w:r>
        <w:t xml:space="preserve">Following service of a notice in accordance with clauses </w:t>
      </w:r>
      <w:r>
        <w:fldChar w:fldCharType="begin"/>
      </w:r>
      <w:r>
        <w:instrText xml:space="preserve"> REF _Ref448880281 \r \h </w:instrText>
      </w:r>
      <w:r>
        <w:fldChar w:fldCharType="separate"/>
      </w:r>
      <w:r>
        <w:t>3.2(c)</w:t>
      </w:r>
      <w:r>
        <w:fldChar w:fldCharType="end"/>
      </w:r>
      <w:r>
        <w:t xml:space="preserve">, the appointment of the relevant Director takes effect when his or her written consent to act as a Director is received at the registered office of the Company. </w:t>
      </w:r>
    </w:p>
    <w:p w:rsidR="00025445" w:rsidRDefault="006D4E7B">
      <w:pPr>
        <w:pStyle w:val="Heading3"/>
      </w:pPr>
      <w:r>
        <w:lastRenderedPageBreak/>
        <w:t>The removal of a Director takes effect when the written notice of removal u</w:t>
      </w:r>
      <w:r>
        <w:t xml:space="preserve">nder clause </w:t>
      </w:r>
      <w:r>
        <w:fldChar w:fldCharType="begin"/>
      </w:r>
      <w:r>
        <w:instrText xml:space="preserve"> REF _Ref448880281 \w \h </w:instrText>
      </w:r>
      <w:r>
        <w:fldChar w:fldCharType="separate"/>
      </w:r>
      <w:r>
        <w:t>3.2(c)</w:t>
      </w:r>
      <w:r>
        <w:fldChar w:fldCharType="end"/>
      </w:r>
      <w:r>
        <w:t>, or the Director’s resignation letter, is received at the registered office of the Company.</w:t>
      </w:r>
      <w:r>
        <w:rPr>
          <w:rStyle w:val="FootnoteReference"/>
        </w:rPr>
        <w:footnoteReference w:id="15"/>
      </w:r>
    </w:p>
    <w:p w:rsidR="00025445" w:rsidRDefault="006D4E7B">
      <w:pPr>
        <w:pStyle w:val="Heading1"/>
      </w:pPr>
      <w:bookmarkStart w:id="11" w:name="_Toc485213315"/>
      <w:r>
        <w:t>Management and decision making</w:t>
      </w:r>
      <w:bookmarkEnd w:id="11"/>
    </w:p>
    <w:p w:rsidR="00025445" w:rsidRDefault="006D4E7B">
      <w:pPr>
        <w:pStyle w:val="Heading2"/>
      </w:pPr>
      <w:bookmarkStart w:id="12" w:name="_Toc485213316"/>
      <w:r>
        <w:t xml:space="preserve">Overall direction of </w:t>
      </w:r>
      <w:r>
        <w:t>the Company</w:t>
      </w:r>
      <w:bookmarkEnd w:id="12"/>
    </w:p>
    <w:p w:rsidR="00025445" w:rsidRDefault="006D4E7B">
      <w:pPr>
        <w:pStyle w:val="bodytext2"/>
      </w:pPr>
      <w:r>
        <w:t xml:space="preserve">The Board must decide all matters concerning the overall direction and management of the Company and the Group and the formulation of the policies to be applied in the conduct of the Business. </w:t>
      </w:r>
    </w:p>
    <w:p w:rsidR="00025445" w:rsidRDefault="006D4E7B">
      <w:pPr>
        <w:pStyle w:val="Heading2"/>
      </w:pPr>
      <w:bookmarkStart w:id="13" w:name="_Toc485213317"/>
      <w:r>
        <w:t>Board decisions by Required Resolution</w:t>
      </w:r>
      <w:r>
        <w:rPr>
          <w:rStyle w:val="FootnoteReference"/>
        </w:rPr>
        <w:footnoteReference w:id="16"/>
      </w:r>
      <w:bookmarkEnd w:id="13"/>
    </w:p>
    <w:p w:rsidR="00025445" w:rsidRDefault="006D4E7B">
      <w:pPr>
        <w:pStyle w:val="bodytext2"/>
      </w:pPr>
      <w:r>
        <w:t>The Compan</w:t>
      </w:r>
      <w:r>
        <w:t>y must not make, and must ensure that no Subsidiary makes, any decision covering a matter listed in Part A of Schedule 2 without the approval of the Board by Required Resolution.</w:t>
      </w:r>
    </w:p>
    <w:p w:rsidR="00025445" w:rsidRDefault="006D4E7B">
      <w:pPr>
        <w:pStyle w:val="Heading2"/>
      </w:pPr>
      <w:bookmarkStart w:id="14" w:name="_Toc485213318"/>
      <w:r>
        <w:t>Shareholder decisions by Special Resolution</w:t>
      </w:r>
      <w:r>
        <w:rPr>
          <w:rStyle w:val="FootnoteReference"/>
        </w:rPr>
        <w:footnoteReference w:id="17"/>
      </w:r>
      <w:bookmarkEnd w:id="14"/>
    </w:p>
    <w:p w:rsidR="00025445" w:rsidRDefault="006D4E7B">
      <w:pPr>
        <w:pStyle w:val="bodytext2"/>
      </w:pPr>
      <w:r>
        <w:t>The Company must not make, and m</w:t>
      </w:r>
      <w:r>
        <w:t>ust ensure that no Subsidiary makes, any decision covering a matter listed in Part B of Schedule 2 without the approval of the Shareholders by Special Resolution.</w:t>
      </w:r>
    </w:p>
    <w:p w:rsidR="00025445" w:rsidRDefault="006D4E7B">
      <w:pPr>
        <w:pStyle w:val="Heading1"/>
      </w:pPr>
      <w:bookmarkStart w:id="15" w:name="_Toc485213319"/>
      <w:r>
        <w:t>General restrictions on Disposal and Issue</w:t>
      </w:r>
      <w:r>
        <w:rPr>
          <w:rStyle w:val="FootnoteReference"/>
        </w:rPr>
        <w:footnoteReference w:id="18"/>
      </w:r>
      <w:bookmarkEnd w:id="15"/>
    </w:p>
    <w:p w:rsidR="00025445" w:rsidRDefault="006D4E7B">
      <w:pPr>
        <w:pStyle w:val="Heading2"/>
      </w:pPr>
      <w:bookmarkStart w:id="16" w:name="_Toc485213320"/>
      <w:r>
        <w:t>General restriction on Security Interests</w:t>
      </w:r>
      <w:r>
        <w:rPr>
          <w:rStyle w:val="FootnoteReference"/>
        </w:rPr>
        <w:footnoteReference w:id="19"/>
      </w:r>
      <w:bookmarkEnd w:id="16"/>
    </w:p>
    <w:p w:rsidR="00025445" w:rsidRDefault="006D4E7B">
      <w:pPr>
        <w:pStyle w:val="bodytext2"/>
      </w:pPr>
      <w:r>
        <w:t>A Shar</w:t>
      </w:r>
      <w:r>
        <w:t>eholder (other than the Investor) may not grant any Security Interest over Securities without first obtaining Board approval by Required Resolution.</w:t>
      </w:r>
    </w:p>
    <w:p w:rsidR="00025445" w:rsidRDefault="006D4E7B">
      <w:pPr>
        <w:pStyle w:val="Heading2"/>
      </w:pPr>
      <w:bookmarkStart w:id="17" w:name="_Ref448880314"/>
      <w:bookmarkStart w:id="18" w:name="_Toc485213321"/>
      <w:r>
        <w:t>Deed of Accession</w:t>
      </w:r>
      <w:bookmarkEnd w:id="17"/>
      <w:bookmarkEnd w:id="18"/>
    </w:p>
    <w:p w:rsidR="00025445" w:rsidRDefault="006D4E7B">
      <w:pPr>
        <w:pStyle w:val="bodytext2"/>
      </w:pPr>
      <w:r>
        <w:t xml:space="preserve">Despite any other provision of this agreement or the Constitution, any Disposal or issue </w:t>
      </w:r>
      <w:r>
        <w:t>of Securities to any person who is not a Shareholder must be conditional on the person first entering into:</w:t>
      </w:r>
    </w:p>
    <w:p w:rsidR="00025445" w:rsidRDefault="006D4E7B">
      <w:pPr>
        <w:pStyle w:val="Heading3"/>
      </w:pPr>
      <w:r>
        <w:lastRenderedPageBreak/>
        <w:t>a binding Deed of Accession; or</w:t>
      </w:r>
    </w:p>
    <w:p w:rsidR="00025445" w:rsidRDefault="006D4E7B">
      <w:pPr>
        <w:pStyle w:val="Heading3"/>
      </w:pPr>
      <w:r>
        <w:t>a new shareholders agreement as agreed by the parties.</w:t>
      </w:r>
    </w:p>
    <w:p w:rsidR="00025445" w:rsidRDefault="006D4E7B">
      <w:pPr>
        <w:pStyle w:val="Heading1"/>
      </w:pPr>
      <w:bookmarkStart w:id="19" w:name="_Ref448880288"/>
      <w:bookmarkStart w:id="20" w:name="_Toc485213322"/>
      <w:r>
        <w:t>Pre-emptive rights on issue of Securities</w:t>
      </w:r>
      <w:bookmarkEnd w:id="19"/>
      <w:bookmarkEnd w:id="20"/>
      <w:r>
        <w:t xml:space="preserve"> </w:t>
      </w:r>
    </w:p>
    <w:p w:rsidR="00025445" w:rsidRDefault="006D4E7B">
      <w:pPr>
        <w:pStyle w:val="Heading2"/>
      </w:pPr>
      <w:bookmarkStart w:id="21" w:name="_Toc485213323"/>
      <w:r>
        <w:t>Excluded issues</w:t>
      </w:r>
      <w:bookmarkEnd w:id="21"/>
      <w:r>
        <w:t xml:space="preserve"> </w:t>
      </w:r>
    </w:p>
    <w:p w:rsidR="00025445" w:rsidRDefault="006D4E7B">
      <w:pPr>
        <w:pStyle w:val="bodytext2"/>
      </w:pPr>
      <w:r>
        <w:t>T</w:t>
      </w:r>
      <w:r>
        <w:t xml:space="preserve">his clause </w:t>
      </w:r>
      <w:r>
        <w:fldChar w:fldCharType="begin"/>
      </w:r>
      <w:r>
        <w:instrText xml:space="preserve"> REF _Ref448880288 \w \h </w:instrText>
      </w:r>
      <w:r>
        <w:fldChar w:fldCharType="separate"/>
      </w:r>
      <w:r>
        <w:t>6</w:t>
      </w:r>
      <w:r>
        <w:fldChar w:fldCharType="end"/>
      </w:r>
      <w:r>
        <w:t xml:space="preserve"> does not apply to any Excluded Issue.</w:t>
      </w:r>
    </w:p>
    <w:p w:rsidR="00025445" w:rsidRDefault="006D4E7B">
      <w:pPr>
        <w:pStyle w:val="Heading2"/>
      </w:pPr>
      <w:bookmarkStart w:id="22" w:name="_Toc485213324"/>
      <w:r>
        <w:t>Offer</w:t>
      </w:r>
      <w:r>
        <w:rPr>
          <w:rStyle w:val="FootnoteReference"/>
        </w:rPr>
        <w:footnoteReference w:id="20"/>
      </w:r>
      <w:r>
        <w:rPr>
          <w:rStyle w:val="FootnoteReference"/>
        </w:rPr>
        <w:footnoteReference w:id="21"/>
      </w:r>
      <w:bookmarkEnd w:id="22"/>
    </w:p>
    <w:p w:rsidR="00025445" w:rsidRDefault="006D4E7B">
      <w:pPr>
        <w:pStyle w:val="bodytext2"/>
        <w:keepNext/>
        <w:ind w:left="677"/>
      </w:pPr>
      <w:r>
        <w:t>The Company must offer each Shareholder its Respective Proportion of the total number of Securities (</w:t>
      </w:r>
      <w:r>
        <w:rPr>
          <w:b/>
        </w:rPr>
        <w:t>Issu</w:t>
      </w:r>
      <w:r>
        <w:rPr>
          <w:b/>
        </w:rPr>
        <w:t>e Securities</w:t>
      </w:r>
      <w:r>
        <w:t>) to be issued by written notice (</w:t>
      </w:r>
      <w:r>
        <w:rPr>
          <w:b/>
        </w:rPr>
        <w:t>Issue Notice</w:t>
      </w:r>
      <w:r>
        <w:t>) specifying:</w:t>
      </w:r>
    </w:p>
    <w:p w:rsidR="00025445" w:rsidRDefault="006D4E7B">
      <w:pPr>
        <w:pStyle w:val="Heading3"/>
      </w:pPr>
      <w:r>
        <w:t>the terms of issue of the Issue Securities;</w:t>
      </w:r>
    </w:p>
    <w:p w:rsidR="00025445" w:rsidRDefault="006D4E7B">
      <w:pPr>
        <w:pStyle w:val="Heading3"/>
      </w:pPr>
      <w:r>
        <w:t>the total number of Issue Securities available for subscription; and</w:t>
      </w:r>
    </w:p>
    <w:p w:rsidR="00025445" w:rsidRDefault="006D4E7B">
      <w:pPr>
        <w:pStyle w:val="Heading3"/>
      </w:pPr>
      <w:r>
        <w:t xml:space="preserve">the date on which subscription monies for the Issue Securities must be </w:t>
      </w:r>
      <w:r>
        <w:t>paid to the Company.</w:t>
      </w:r>
    </w:p>
    <w:p w:rsidR="00025445" w:rsidRDefault="006D4E7B">
      <w:pPr>
        <w:pStyle w:val="Heading2"/>
      </w:pPr>
      <w:bookmarkStart w:id="23" w:name="_Ref448880295"/>
      <w:bookmarkStart w:id="24" w:name="_Toc485213325"/>
      <w:r>
        <w:t>Acceptance</w:t>
      </w:r>
      <w:bookmarkEnd w:id="23"/>
      <w:bookmarkEnd w:id="24"/>
    </w:p>
    <w:p w:rsidR="00025445" w:rsidRDefault="006D4E7B">
      <w:pPr>
        <w:pStyle w:val="bodytext2"/>
      </w:pPr>
      <w:r>
        <w:t>A Shareholder wishing to subscribe for Issue Securities (</w:t>
      </w:r>
      <w:r>
        <w:rPr>
          <w:b/>
        </w:rPr>
        <w:t>Accepting Subscriber</w:t>
      </w:r>
      <w:r>
        <w:t>) in response to an Issue Notice must, within 10 Business Days after receipt of the Issue Notice, irrevocably notify the Board of the number of Iss</w:t>
      </w:r>
      <w:r>
        <w:t>ue Securities it is willing to subscribe for (</w:t>
      </w:r>
      <w:r>
        <w:rPr>
          <w:b/>
        </w:rPr>
        <w:t>Issue Acceptance</w:t>
      </w:r>
      <w:r>
        <w:t>).</w:t>
      </w:r>
    </w:p>
    <w:p w:rsidR="00025445" w:rsidRDefault="006D4E7B">
      <w:pPr>
        <w:pStyle w:val="Heading2"/>
      </w:pPr>
      <w:bookmarkStart w:id="25" w:name="_Ref453161016"/>
      <w:bookmarkStart w:id="26" w:name="_Toc485213326"/>
      <w:r>
        <w:t>Allocation</w:t>
      </w:r>
      <w:bookmarkEnd w:id="25"/>
      <w:bookmarkEnd w:id="26"/>
    </w:p>
    <w:p w:rsidR="00025445" w:rsidRDefault="006D4E7B">
      <w:pPr>
        <w:pStyle w:val="Heading3"/>
      </w:pPr>
      <w:r>
        <w:t xml:space="preserve">If the aggregate Issue Acceptances received by the Board in accordance with clause </w:t>
      </w:r>
      <w:r>
        <w:fldChar w:fldCharType="begin"/>
      </w:r>
      <w:r>
        <w:instrText xml:space="preserve"> REF _Ref448880295 \w \h </w:instrText>
      </w:r>
      <w:r>
        <w:fldChar w:fldCharType="separate"/>
      </w:r>
      <w:r>
        <w:t>6.3</w:t>
      </w:r>
      <w:r>
        <w:fldChar w:fldCharType="end"/>
      </w:r>
      <w:r>
        <w:t xml:space="preserve"> is less than the total number of Issue Securities, each Accepting Subscriber’s allocation of Issue Securities (</w:t>
      </w:r>
      <w:r>
        <w:rPr>
          <w:b/>
        </w:rPr>
        <w:t>Allocation</w:t>
      </w:r>
      <w:r>
        <w:t>) is the amount of Issue Securities set out in its Issue Acceptance.</w:t>
      </w:r>
    </w:p>
    <w:p w:rsidR="00025445" w:rsidRDefault="006D4E7B">
      <w:pPr>
        <w:pStyle w:val="Heading3"/>
      </w:pPr>
      <w:r>
        <w:t>If the aggregate Issue Acceptances received by the Board in accor</w:t>
      </w:r>
      <w:r>
        <w:t xml:space="preserve">dance with clause </w:t>
      </w:r>
      <w:r>
        <w:fldChar w:fldCharType="begin"/>
      </w:r>
      <w:r>
        <w:instrText xml:space="preserve"> REF _Ref448880295 \w \h </w:instrText>
      </w:r>
      <w:r>
        <w:fldChar w:fldCharType="separate"/>
      </w:r>
      <w:r>
        <w:t>6.3</w:t>
      </w:r>
      <w:r>
        <w:fldChar w:fldCharType="end"/>
      </w:r>
      <w:r>
        <w:t xml:space="preserve"> is greater than the total number of Issue Securities, each Accepting Subscriber’s Allocation is the lesser of:</w:t>
      </w:r>
    </w:p>
    <w:p w:rsidR="00025445" w:rsidRDefault="006D4E7B">
      <w:pPr>
        <w:pStyle w:val="Heading4"/>
      </w:pPr>
      <w:r>
        <w:t>its Issue Acceptance; and</w:t>
      </w:r>
    </w:p>
    <w:p w:rsidR="00025445" w:rsidRDefault="006D4E7B">
      <w:pPr>
        <w:pStyle w:val="Heading4"/>
      </w:pPr>
      <w:r>
        <w:t xml:space="preserve">the </w:t>
      </w:r>
      <w:r>
        <w:t xml:space="preserve">relevant Accepting Subscriber’s Respective Proportion of the Issue Securities. </w:t>
      </w:r>
    </w:p>
    <w:p w:rsidR="00025445" w:rsidRDefault="006D4E7B">
      <w:pPr>
        <w:pStyle w:val="Heading3"/>
      </w:pPr>
      <w:r>
        <w:lastRenderedPageBreak/>
        <w:t>Any Issue Securities which remain unallocated must be re-offered to those remaining Accepting Subscribers who in their Issue Acceptance specified a number of Issue Securities g</w:t>
      </w:r>
      <w:r>
        <w:t>reater than their Respective Proportion of the Issue Securities and this process will be repeated until either all Issue Securities are allocated, or every Accepting Subscriber offered Issue Securities under this clause has rejected the offer.</w:t>
      </w:r>
    </w:p>
    <w:p w:rsidR="00025445" w:rsidRDefault="006D4E7B">
      <w:pPr>
        <w:pStyle w:val="Heading2"/>
      </w:pPr>
      <w:bookmarkStart w:id="27" w:name="_Ref453161121"/>
      <w:bookmarkStart w:id="28" w:name="_Toc485213327"/>
      <w:r>
        <w:t>Notice of Al</w:t>
      </w:r>
      <w:r>
        <w:t>location</w:t>
      </w:r>
      <w:bookmarkEnd w:id="27"/>
      <w:bookmarkEnd w:id="28"/>
    </w:p>
    <w:p w:rsidR="00025445" w:rsidRDefault="006D4E7B">
      <w:pPr>
        <w:pStyle w:val="bodytext2"/>
      </w:pPr>
      <w:r>
        <w:t xml:space="preserve">As soon as reasonably practicable after the determination of the entitlements of each Shareholder in accordance with clause </w:t>
      </w:r>
      <w:r>
        <w:fldChar w:fldCharType="begin"/>
      </w:r>
      <w:r>
        <w:instrText xml:space="preserve"> REF _Ref453161016 \r \h </w:instrText>
      </w:r>
      <w:r>
        <w:fldChar w:fldCharType="separate"/>
      </w:r>
      <w:r>
        <w:t>6.4</w:t>
      </w:r>
      <w:r>
        <w:fldChar w:fldCharType="end"/>
      </w:r>
      <w:r>
        <w:t>, the Company must give each</w:t>
      </w:r>
      <w:r>
        <w:t xml:space="preserve"> Accepting Subscriber a notice setting out its Allocation and the time and place for completion of the issue of the Issue Securities. </w:t>
      </w:r>
    </w:p>
    <w:p w:rsidR="00025445" w:rsidRDefault="006D4E7B">
      <w:pPr>
        <w:pStyle w:val="Heading2"/>
      </w:pPr>
      <w:bookmarkStart w:id="29" w:name="_Toc485213328"/>
      <w:r>
        <w:t>Completion</w:t>
      </w:r>
      <w:bookmarkEnd w:id="29"/>
    </w:p>
    <w:p w:rsidR="00025445" w:rsidRDefault="006D4E7B">
      <w:pPr>
        <w:pStyle w:val="Heading3"/>
      </w:pPr>
      <w:r>
        <w:t>On the date that is 10 Business Days after the Company notifies the Accepting Subscribers of the Allocations u</w:t>
      </w:r>
      <w:r>
        <w:t xml:space="preserve">nder clause </w:t>
      </w:r>
      <w:r>
        <w:fldChar w:fldCharType="begin"/>
      </w:r>
      <w:r>
        <w:instrText xml:space="preserve"> REF _Ref453161121 \r \h </w:instrText>
      </w:r>
      <w:r>
        <w:fldChar w:fldCharType="separate"/>
      </w:r>
      <w:r>
        <w:t>6.5</w:t>
      </w:r>
      <w:r>
        <w:fldChar w:fldCharType="end"/>
      </w:r>
      <w:r>
        <w:t>, or at such other date as is agreed by the Company and the Accepting Subscribers:</w:t>
      </w:r>
    </w:p>
    <w:p w:rsidR="00025445" w:rsidRDefault="006D4E7B">
      <w:pPr>
        <w:pStyle w:val="Heading4"/>
      </w:pPr>
      <w:r>
        <w:t>the Company must issue, and each Accepting Subscriber must subscr</w:t>
      </w:r>
      <w:r>
        <w:t>ibe for, the respective Allocation on the terms set out in the Issue Notice;</w:t>
      </w:r>
    </w:p>
    <w:p w:rsidR="00025445" w:rsidRDefault="006D4E7B">
      <w:pPr>
        <w:pStyle w:val="Heading4"/>
      </w:pPr>
      <w:r>
        <w:t>each Accepting Subscriber must pay the subscription price for its Allocation to the Company; and</w:t>
      </w:r>
    </w:p>
    <w:p w:rsidR="00025445" w:rsidRDefault="006D4E7B">
      <w:pPr>
        <w:pStyle w:val="Heading4"/>
      </w:pPr>
      <w:r>
        <w:t>the Company must:</w:t>
      </w:r>
    </w:p>
    <w:p w:rsidR="00025445" w:rsidRDefault="006D4E7B">
      <w:pPr>
        <w:pStyle w:val="Heading5"/>
      </w:pPr>
      <w:r>
        <w:t>register the issue of the Allocation and enter each Accepting Su</w:t>
      </w:r>
      <w:r>
        <w:t>bscriber in the Company's register of members for the Accepting Subscriber's Allocation; and</w:t>
      </w:r>
    </w:p>
    <w:p w:rsidR="00025445" w:rsidRDefault="006D4E7B">
      <w:pPr>
        <w:pStyle w:val="Heading5"/>
      </w:pPr>
      <w:r>
        <w:t>issue a new share certificate in the name of each Accepting Subscriber for its Allocation.</w:t>
      </w:r>
    </w:p>
    <w:p w:rsidR="00025445" w:rsidRDefault="006D4E7B">
      <w:pPr>
        <w:pStyle w:val="Heading3"/>
      </w:pPr>
      <w:r>
        <w:t xml:space="preserve">If an Accepting Subscriber fails to pay the subscription monies for the </w:t>
      </w:r>
      <w:r>
        <w:t xml:space="preserve">Issue Securities when due, such Issue Securities will be treated as Remaining Securities (as that term is defined in clause </w:t>
      </w:r>
      <w:r>
        <w:fldChar w:fldCharType="begin"/>
      </w:r>
      <w:r>
        <w:instrText xml:space="preserve"> REF _Ref453161383 \r \h </w:instrText>
      </w:r>
      <w:r>
        <w:fldChar w:fldCharType="separate"/>
      </w:r>
      <w:r>
        <w:t>6.7</w:t>
      </w:r>
      <w:r>
        <w:fldChar w:fldCharType="end"/>
      </w:r>
      <w:r>
        <w:t>) and may be issued by the Company i</w:t>
      </w:r>
      <w:r>
        <w:t xml:space="preserve">n accordance with clause </w:t>
      </w:r>
      <w:r>
        <w:fldChar w:fldCharType="begin"/>
      </w:r>
      <w:r>
        <w:instrText xml:space="preserve"> REF _Ref453161383 \r \h </w:instrText>
      </w:r>
      <w:r>
        <w:fldChar w:fldCharType="separate"/>
      </w:r>
      <w:r>
        <w:t>6.7</w:t>
      </w:r>
      <w:r>
        <w:fldChar w:fldCharType="end"/>
      </w:r>
      <w:r>
        <w:t xml:space="preserve">. </w:t>
      </w:r>
    </w:p>
    <w:p w:rsidR="00025445" w:rsidRDefault="006D4E7B">
      <w:pPr>
        <w:pStyle w:val="Heading2"/>
      </w:pPr>
      <w:bookmarkStart w:id="30" w:name="_Ref453161383"/>
      <w:bookmarkStart w:id="31" w:name="_Toc485213329"/>
      <w:r>
        <w:t>Issue to Third Parties</w:t>
      </w:r>
      <w:bookmarkEnd w:id="30"/>
      <w:bookmarkEnd w:id="31"/>
    </w:p>
    <w:p w:rsidR="00025445" w:rsidRDefault="006D4E7B">
      <w:pPr>
        <w:pStyle w:val="Heading3"/>
      </w:pPr>
      <w:r>
        <w:t xml:space="preserve">After the procedures set out in this clause </w:t>
      </w:r>
      <w:r>
        <w:fldChar w:fldCharType="begin"/>
      </w:r>
      <w:r>
        <w:instrText xml:space="preserve"> REF _Ref448880288 \r \h </w:instrText>
      </w:r>
      <w:r>
        <w:fldChar w:fldCharType="separate"/>
      </w:r>
      <w:r>
        <w:t>6</w:t>
      </w:r>
      <w:r>
        <w:fldChar w:fldCharType="end"/>
      </w:r>
      <w:r>
        <w:t xml:space="preserve"> have been complied with and exhausted, if any Issue Securities have not been allocated (</w:t>
      </w:r>
      <w:r>
        <w:rPr>
          <w:b/>
        </w:rPr>
        <w:t>Remaining Securities</w:t>
      </w:r>
      <w:r>
        <w:t>), the Company may issue those Remaining Securities to one or more other parties selected by the Board, on terms no mor</w:t>
      </w:r>
      <w:r>
        <w:t>e favourable to that party than those offered to the Shareholders.</w:t>
      </w:r>
    </w:p>
    <w:p w:rsidR="00025445" w:rsidRDefault="006D4E7B">
      <w:pPr>
        <w:pStyle w:val="Heading3"/>
      </w:pPr>
      <w:r>
        <w:t>If the Company does not issue all Remaining Securities within 90 days after the date of service of the Issue Notice, it may not issue those Securities without complying again with this clau</w:t>
      </w:r>
      <w:r>
        <w:t xml:space="preserve">se </w:t>
      </w:r>
      <w:r>
        <w:fldChar w:fldCharType="begin"/>
      </w:r>
      <w:r>
        <w:instrText xml:space="preserve"> REF _Ref448880288 \r \h </w:instrText>
      </w:r>
      <w:r>
        <w:fldChar w:fldCharType="separate"/>
      </w:r>
      <w:r>
        <w:t>6</w:t>
      </w:r>
      <w:r>
        <w:fldChar w:fldCharType="end"/>
      </w:r>
      <w:r>
        <w:t>.</w:t>
      </w:r>
    </w:p>
    <w:p w:rsidR="00025445" w:rsidRDefault="006D4E7B">
      <w:pPr>
        <w:pStyle w:val="Heading1"/>
      </w:pPr>
      <w:bookmarkStart w:id="32" w:name="_Ref449004124"/>
      <w:bookmarkStart w:id="33" w:name="_Toc485213330"/>
      <w:r>
        <w:lastRenderedPageBreak/>
        <w:t>Share plan</w:t>
      </w:r>
      <w:bookmarkEnd w:id="32"/>
      <w:r>
        <w:rPr>
          <w:rStyle w:val="FootnoteReference"/>
        </w:rPr>
        <w:footnoteReference w:id="22"/>
      </w:r>
      <w:bookmarkEnd w:id="33"/>
    </w:p>
    <w:p w:rsidR="00025445" w:rsidRDefault="006D4E7B">
      <w:pPr>
        <w:pStyle w:val="bodytext2"/>
      </w:pPr>
      <w:r>
        <w:t>The Shareholders agree that:</w:t>
      </w:r>
    </w:p>
    <w:p w:rsidR="00025445" w:rsidRDefault="006D4E7B">
      <w:pPr>
        <w:pStyle w:val="Heading3"/>
      </w:pPr>
      <w:r>
        <w:t>at any time, the Board may establish a formal written employee incentive plan to issue Securities to eligible service</w:t>
      </w:r>
      <w:r>
        <w:t xml:space="preserve"> providers (whether Directors, employees or contractors) that results in the issue of that number of shares of an amount up to [</w:t>
      </w:r>
      <w:r>
        <w:rPr>
          <w:highlight w:val="yellow"/>
        </w:rPr>
        <w:t>insert</w:t>
      </w:r>
      <w:r>
        <w:t>]%</w:t>
      </w:r>
      <w:r>
        <w:rPr>
          <w:rStyle w:val="FootnoteReference"/>
        </w:rPr>
        <w:footnoteReference w:id="23"/>
      </w:r>
      <w:r>
        <w:t xml:space="preserve"> of the fully diluted share capital of the Company as at the date of this agreement (</w:t>
      </w:r>
      <w:r>
        <w:rPr>
          <w:b/>
        </w:rPr>
        <w:t>Share Plan</w:t>
      </w:r>
      <w:r>
        <w:t xml:space="preserve">); </w:t>
      </w:r>
    </w:p>
    <w:p w:rsidR="00025445" w:rsidRDefault="006D4E7B">
      <w:pPr>
        <w:pStyle w:val="Heading3"/>
      </w:pPr>
      <w:r>
        <w:t xml:space="preserve">the Share Plan will </w:t>
      </w:r>
      <w:r>
        <w:t>authorise the Directors to issue Securities under the Share Plan to eligible service providers in their discretion; and</w:t>
      </w:r>
      <w:r>
        <w:rPr>
          <w:rStyle w:val="FootnoteReference"/>
        </w:rPr>
        <w:footnoteReference w:id="24"/>
      </w:r>
    </w:p>
    <w:p w:rsidR="00025445" w:rsidRDefault="006D4E7B">
      <w:pPr>
        <w:pStyle w:val="Heading3"/>
      </w:pPr>
      <w:r>
        <w:t>any issue of Securities under the Share Plan will be an Excluded Issue.</w:t>
      </w:r>
    </w:p>
    <w:p w:rsidR="00025445" w:rsidRDefault="006D4E7B">
      <w:pPr>
        <w:pStyle w:val="Heading1"/>
      </w:pPr>
      <w:bookmarkStart w:id="34" w:name="_Toc485213331"/>
      <w:r>
        <w:t>Permitted Disposals</w:t>
      </w:r>
      <w:bookmarkEnd w:id="34"/>
    </w:p>
    <w:p w:rsidR="00025445" w:rsidRDefault="006D4E7B">
      <w:pPr>
        <w:pStyle w:val="Heading2"/>
      </w:pPr>
      <w:bookmarkStart w:id="35" w:name="_Toc485213332"/>
      <w:r>
        <w:t>Disposal to Affiliates</w:t>
      </w:r>
      <w:bookmarkEnd w:id="35"/>
    </w:p>
    <w:p w:rsidR="00025445" w:rsidRDefault="006D4E7B">
      <w:pPr>
        <w:pStyle w:val="bodytext2"/>
      </w:pPr>
      <w:r>
        <w:t xml:space="preserve">Subject to clauses </w:t>
      </w:r>
      <w:r>
        <w:fldChar w:fldCharType="begin"/>
      </w:r>
      <w:r>
        <w:instrText xml:space="preserve"> REF _Ref448880314 \w \h </w:instrText>
      </w:r>
      <w:r>
        <w:fldChar w:fldCharType="separate"/>
      </w:r>
      <w:r>
        <w:t>5.2</w:t>
      </w:r>
      <w:r>
        <w:fldChar w:fldCharType="end"/>
      </w:r>
      <w:r>
        <w:t xml:space="preserve"> and </w:t>
      </w:r>
      <w:r>
        <w:fldChar w:fldCharType="begin"/>
      </w:r>
      <w:r>
        <w:instrText xml:space="preserve"> REF _Ref448880319 \w \h </w:instrText>
      </w:r>
      <w:r>
        <w:fldChar w:fldCharType="separate"/>
      </w:r>
      <w:r>
        <w:t>8.2</w:t>
      </w:r>
      <w:r>
        <w:fldChar w:fldCharType="end"/>
      </w:r>
      <w:r>
        <w:t>, but despite any other provision of this agreement:</w:t>
      </w:r>
    </w:p>
    <w:p w:rsidR="00025445" w:rsidRDefault="006D4E7B">
      <w:pPr>
        <w:pStyle w:val="Heading3"/>
      </w:pPr>
      <w:r>
        <w:t>a Share</w:t>
      </w:r>
      <w:r>
        <w:t>holder may Dispose any or all of its Securities from time to time to any of its Affiliates without restriction; and</w:t>
      </w:r>
    </w:p>
    <w:p w:rsidR="00025445" w:rsidRDefault="006D4E7B">
      <w:pPr>
        <w:pStyle w:val="Heading3"/>
      </w:pPr>
      <w:r>
        <w:t>an Affiliate of a Shareholder may Dispose any or all of its Securities from time to time to that Shareholder or another Affiliate of that Sh</w:t>
      </w:r>
      <w:r>
        <w:t>areholder without restriction.</w:t>
      </w:r>
    </w:p>
    <w:p w:rsidR="00025445" w:rsidRDefault="006D4E7B">
      <w:pPr>
        <w:pStyle w:val="Heading2"/>
      </w:pPr>
      <w:bookmarkStart w:id="36" w:name="_Ref448880319"/>
      <w:bookmarkStart w:id="37" w:name="_Toc485213333"/>
      <w:r>
        <w:t>Ceasing to be an Affiliate</w:t>
      </w:r>
      <w:bookmarkEnd w:id="36"/>
      <w:bookmarkEnd w:id="37"/>
    </w:p>
    <w:p w:rsidR="00025445" w:rsidRDefault="006D4E7B">
      <w:pPr>
        <w:pStyle w:val="bodytext2"/>
      </w:pPr>
      <w:r>
        <w:t>If a person to whom a Shareholder has disposed any Securities ceases to be an Affiliate (as applicable) of that Shareholder:</w:t>
      </w:r>
    </w:p>
    <w:p w:rsidR="00025445" w:rsidRDefault="006D4E7B">
      <w:pPr>
        <w:pStyle w:val="Heading3"/>
      </w:pPr>
      <w:r>
        <w:t>that Shareholder must procure that that person immediately Disposes the r</w:t>
      </w:r>
      <w:r>
        <w:t>elevant Securities back to the original transferor (who must purchase the Securities); and</w:t>
      </w:r>
    </w:p>
    <w:p w:rsidR="00025445" w:rsidRDefault="006D4E7B">
      <w:pPr>
        <w:pStyle w:val="Heading3"/>
      </w:pPr>
      <w:r>
        <w:t>all rights attaching to the Securities held by that person will be suspended until the Disposal back to the original transferor is completed.</w:t>
      </w:r>
    </w:p>
    <w:p w:rsidR="00025445" w:rsidRDefault="006D4E7B">
      <w:pPr>
        <w:pStyle w:val="Heading1"/>
      </w:pPr>
      <w:bookmarkStart w:id="38" w:name="_Ref448880363"/>
      <w:bookmarkStart w:id="39" w:name="_Toc485213334"/>
      <w:r>
        <w:lastRenderedPageBreak/>
        <w:t>Pre-emptive rights on D</w:t>
      </w:r>
      <w:r>
        <w:t>isposal</w:t>
      </w:r>
      <w:bookmarkEnd w:id="38"/>
      <w:bookmarkEnd w:id="39"/>
    </w:p>
    <w:p w:rsidR="00025445" w:rsidRDefault="006D4E7B">
      <w:pPr>
        <w:pStyle w:val="Heading2"/>
      </w:pPr>
      <w:bookmarkStart w:id="40" w:name="_Toc485213335"/>
      <w:r>
        <w:t>Pre-emptive Offer</w:t>
      </w:r>
      <w:r>
        <w:rPr>
          <w:rStyle w:val="FootnoteReference"/>
        </w:rPr>
        <w:footnoteReference w:id="25"/>
      </w:r>
      <w:bookmarkEnd w:id="40"/>
    </w:p>
    <w:p w:rsidR="00025445" w:rsidRDefault="006D4E7B">
      <w:pPr>
        <w:pStyle w:val="Heading3"/>
      </w:pPr>
      <w:r>
        <w:t>A Shareholder wishing to Dispose of Securities (</w:t>
      </w:r>
      <w:r>
        <w:rPr>
          <w:b/>
        </w:rPr>
        <w:t>Seller</w:t>
      </w:r>
      <w:r>
        <w:t>) must first give to the Board, and the Board must give notice to each other Shareholder a written notice (</w:t>
      </w:r>
      <w:r>
        <w:rPr>
          <w:b/>
        </w:rPr>
        <w:t>Transfer Notice</w:t>
      </w:r>
      <w:r>
        <w:t>) which constitutes an offer by the Seller to Dispose</w:t>
      </w:r>
      <w:r>
        <w:t xml:space="preserve"> of the Sale Securities (as defined in clause </w:t>
      </w:r>
      <w:r>
        <w:fldChar w:fldCharType="begin"/>
      </w:r>
      <w:r>
        <w:instrText xml:space="preserve"> REF _Ref448880333 \w \h </w:instrText>
      </w:r>
      <w:r>
        <w:fldChar w:fldCharType="separate"/>
      </w:r>
      <w:r>
        <w:t>9.1(b)(i)</w:t>
      </w:r>
      <w:r>
        <w:fldChar w:fldCharType="end"/>
      </w:r>
      <w:r>
        <w:t>) at the price stated in the Transfer Notice and in the manner outlined in this clause.</w:t>
      </w:r>
    </w:p>
    <w:p w:rsidR="00025445" w:rsidRDefault="006D4E7B">
      <w:pPr>
        <w:pStyle w:val="Heading3"/>
      </w:pPr>
      <w:r>
        <w:t xml:space="preserve">The Transfer Notice </w:t>
      </w:r>
      <w:r>
        <w:t>must set out:</w:t>
      </w:r>
    </w:p>
    <w:p w:rsidR="00025445" w:rsidRDefault="006D4E7B">
      <w:pPr>
        <w:pStyle w:val="Heading4"/>
      </w:pPr>
      <w:bookmarkStart w:id="41" w:name="_Ref448880333"/>
      <w:r>
        <w:t>the number and class of Securities it proposes to Dispose of (</w:t>
      </w:r>
      <w:r>
        <w:rPr>
          <w:b/>
        </w:rPr>
        <w:t>Sale Securities</w:t>
      </w:r>
      <w:r>
        <w:t>);</w:t>
      </w:r>
      <w:bookmarkEnd w:id="41"/>
    </w:p>
    <w:p w:rsidR="00025445" w:rsidRDefault="006D4E7B">
      <w:pPr>
        <w:pStyle w:val="Heading4"/>
      </w:pPr>
      <w:r>
        <w:t>the name of any proposed third party buyer;</w:t>
      </w:r>
    </w:p>
    <w:p w:rsidR="00025445" w:rsidRDefault="006D4E7B">
      <w:pPr>
        <w:pStyle w:val="Heading4"/>
      </w:pPr>
      <w:r>
        <w:t>the price payable per Sale Security; and</w:t>
      </w:r>
    </w:p>
    <w:p w:rsidR="00025445" w:rsidRDefault="006D4E7B">
      <w:pPr>
        <w:pStyle w:val="Heading4"/>
      </w:pPr>
      <w:r>
        <w:t>the key terms of any offer from a purchaser or agreement between the Seller a</w:t>
      </w:r>
      <w:r>
        <w:t>nd the purchaser concerning the Seller’s Securities.</w:t>
      </w:r>
    </w:p>
    <w:p w:rsidR="00025445" w:rsidRDefault="006D4E7B">
      <w:pPr>
        <w:pStyle w:val="Heading2"/>
      </w:pPr>
      <w:bookmarkStart w:id="42" w:name="_Ref448880342"/>
      <w:bookmarkStart w:id="43" w:name="_Toc485213336"/>
      <w:r>
        <w:t>Acceptance</w:t>
      </w:r>
      <w:bookmarkEnd w:id="42"/>
      <w:bookmarkEnd w:id="43"/>
      <w:r>
        <w:t xml:space="preserve"> </w:t>
      </w:r>
    </w:p>
    <w:p w:rsidR="00025445" w:rsidRDefault="006D4E7B">
      <w:pPr>
        <w:pStyle w:val="bodytext2"/>
      </w:pPr>
      <w:r>
        <w:t>A Shareholder wishing to purchase Sale Securities (</w:t>
      </w:r>
      <w:r>
        <w:rPr>
          <w:b/>
        </w:rPr>
        <w:t>Accepting Shareholder</w:t>
      </w:r>
      <w:r>
        <w:t>) in response to a Transfer Notice must, within 10 Business Days after receipt of the Transfer Notice, irrevocably noti</w:t>
      </w:r>
      <w:r>
        <w:t>fy the Board of the number of Sale Securities it is willing to purchase (</w:t>
      </w:r>
      <w:r>
        <w:rPr>
          <w:b/>
        </w:rPr>
        <w:t>Transfer Acceptance</w:t>
      </w:r>
      <w:r>
        <w:t>).</w:t>
      </w:r>
    </w:p>
    <w:p w:rsidR="00025445" w:rsidRDefault="006D4E7B">
      <w:pPr>
        <w:pStyle w:val="Heading2"/>
      </w:pPr>
      <w:bookmarkStart w:id="44" w:name="_Ref448880223"/>
      <w:bookmarkStart w:id="45" w:name="_Toc485213337"/>
      <w:r>
        <w:t>Allocation</w:t>
      </w:r>
      <w:bookmarkEnd w:id="44"/>
      <w:bookmarkEnd w:id="45"/>
    </w:p>
    <w:p w:rsidR="00025445" w:rsidRDefault="006D4E7B">
      <w:pPr>
        <w:pStyle w:val="Heading3"/>
      </w:pPr>
      <w:r>
        <w:t xml:space="preserve">If the aggregate Transfer Acceptances received by the Board in accordance with clause </w:t>
      </w:r>
      <w:r>
        <w:fldChar w:fldCharType="begin"/>
      </w:r>
      <w:r>
        <w:instrText xml:space="preserve"> REF _Ref448880342 \w \h </w:instrText>
      </w:r>
      <w:r>
        <w:fldChar w:fldCharType="separate"/>
      </w:r>
      <w:r>
        <w:t>9.2</w:t>
      </w:r>
      <w:r>
        <w:fldChar w:fldCharType="end"/>
      </w:r>
      <w:r>
        <w:t xml:space="preserve"> is less than the total number of Sale Securities, each Accepting Shareholder’s allocation of Sale Securities (</w:t>
      </w:r>
      <w:r>
        <w:rPr>
          <w:b/>
        </w:rPr>
        <w:t>Allocation</w:t>
      </w:r>
      <w:r>
        <w:t>) is the amount of Securities set out in its Transfer Acceptance.</w:t>
      </w:r>
    </w:p>
    <w:p w:rsidR="00025445" w:rsidRDefault="006D4E7B">
      <w:pPr>
        <w:pStyle w:val="Heading3"/>
      </w:pPr>
      <w:r>
        <w:t>If the aggregate Transfer Acceptances</w:t>
      </w:r>
      <w:r>
        <w:t xml:space="preserve"> received by the Board in accordance with clause </w:t>
      </w:r>
      <w:r>
        <w:fldChar w:fldCharType="begin"/>
      </w:r>
      <w:r>
        <w:instrText xml:space="preserve"> REF _Ref448880342 \w \h </w:instrText>
      </w:r>
      <w:r>
        <w:fldChar w:fldCharType="separate"/>
      </w:r>
      <w:r>
        <w:t>9.2</w:t>
      </w:r>
      <w:r>
        <w:fldChar w:fldCharType="end"/>
      </w:r>
      <w:r>
        <w:t xml:space="preserve"> is greater than the total number of Sale Securities, each Shareholder’s Allocation is the lesser of:</w:t>
      </w:r>
    </w:p>
    <w:p w:rsidR="00025445" w:rsidRDefault="006D4E7B">
      <w:pPr>
        <w:pStyle w:val="Heading4"/>
      </w:pPr>
      <w:r>
        <w:t xml:space="preserve">its </w:t>
      </w:r>
      <w:r>
        <w:t>Transfer Acceptance; and</w:t>
      </w:r>
    </w:p>
    <w:p w:rsidR="00025445" w:rsidRDefault="006D4E7B">
      <w:pPr>
        <w:pStyle w:val="Heading4"/>
      </w:pPr>
      <w:r>
        <w:t xml:space="preserve">the relevant Accepting Shareholder’s Respective Proportion of the Sale Securities. </w:t>
      </w:r>
    </w:p>
    <w:p w:rsidR="00025445" w:rsidRDefault="006D4E7B">
      <w:pPr>
        <w:pStyle w:val="Heading3"/>
      </w:pPr>
      <w:r>
        <w:t>Any Sale Securities which remain unallocated must be re-offered to those remaining Accepting Shareholders who in their Transfer Acceptance specifie</w:t>
      </w:r>
      <w:r>
        <w:t xml:space="preserve">d a number of Sale Securities greater than their Respective Proportion of the Sale Securities and this process will be repeated until either all Sale Securities </w:t>
      </w:r>
      <w:r>
        <w:lastRenderedPageBreak/>
        <w:t>are allocated, or every Shareholder offered Securities under this clause has rejected the offer</w:t>
      </w:r>
      <w:r>
        <w:t>.</w:t>
      </w:r>
    </w:p>
    <w:p w:rsidR="00025445" w:rsidRDefault="006D4E7B">
      <w:pPr>
        <w:pStyle w:val="Heading2"/>
      </w:pPr>
      <w:bookmarkStart w:id="46" w:name="_Ref448880357"/>
      <w:bookmarkStart w:id="47" w:name="_Toc485213338"/>
      <w:r>
        <w:t>Transfer of Securities to third party</w:t>
      </w:r>
      <w:bookmarkEnd w:id="46"/>
      <w:bookmarkEnd w:id="47"/>
      <w:r>
        <w:t xml:space="preserve"> </w:t>
      </w:r>
    </w:p>
    <w:p w:rsidR="00025445" w:rsidRDefault="006D4E7B">
      <w:pPr>
        <w:pStyle w:val="bodytext2"/>
      </w:pPr>
      <w:r>
        <w:t xml:space="preserve">If there are unallocated Sale Securities after all Allocations have been exhausted: </w:t>
      </w:r>
    </w:p>
    <w:p w:rsidR="00025445" w:rsidRDefault="006D4E7B">
      <w:pPr>
        <w:pStyle w:val="Heading3"/>
      </w:pPr>
      <w:r>
        <w:t>the Company must immediately notify the Seller of the unallocated Sale Securities; and</w:t>
      </w:r>
    </w:p>
    <w:p w:rsidR="00025445" w:rsidRDefault="006D4E7B">
      <w:pPr>
        <w:pStyle w:val="Heading3"/>
      </w:pPr>
      <w:r>
        <w:t xml:space="preserve">the Seller is free to Dispose of the </w:t>
      </w:r>
      <w:r>
        <w:t>unallocated Sale Securities to any other party within 90 days of the date of the Transfer Notice on terms no more favourable to the other party than those set out in the Transfer Notice.</w:t>
      </w:r>
    </w:p>
    <w:p w:rsidR="00025445" w:rsidRDefault="006D4E7B">
      <w:pPr>
        <w:pStyle w:val="Heading2"/>
      </w:pPr>
      <w:bookmarkStart w:id="48" w:name="_Toc485213339"/>
      <w:r>
        <w:t>Completion</w:t>
      </w:r>
      <w:bookmarkEnd w:id="48"/>
      <w:r>
        <w:t xml:space="preserve"> </w:t>
      </w:r>
    </w:p>
    <w:p w:rsidR="00025445" w:rsidRDefault="006D4E7B">
      <w:pPr>
        <w:pStyle w:val="bodytext2"/>
      </w:pPr>
      <w:r>
        <w:t>At completion, the Seller must transfer, and each Accepti</w:t>
      </w:r>
      <w:r>
        <w:t>ng Shareholder must accept, the respective Allocation of Securities on the terms set out in the Transfer Notice.</w:t>
      </w:r>
    </w:p>
    <w:p w:rsidR="00025445" w:rsidRDefault="006D4E7B">
      <w:pPr>
        <w:pStyle w:val="Heading2"/>
      </w:pPr>
      <w:bookmarkStart w:id="49" w:name="_Toc485213340"/>
      <w:r>
        <w:t>Tag Along Option</w:t>
      </w:r>
      <w:r>
        <w:rPr>
          <w:rStyle w:val="FootnoteReference"/>
        </w:rPr>
        <w:footnoteReference w:id="26"/>
      </w:r>
      <w:bookmarkEnd w:id="49"/>
    </w:p>
    <w:p w:rsidR="00025445" w:rsidRDefault="006D4E7B">
      <w:pPr>
        <w:pStyle w:val="Heading3"/>
      </w:pPr>
      <w:r>
        <w:t xml:space="preserve">If a Seller is permitted to Dispose unallocated Sale Securities to another party pursuant to clause </w:t>
      </w:r>
      <w:r>
        <w:fldChar w:fldCharType="begin"/>
      </w:r>
      <w:r>
        <w:instrText xml:space="preserve"> REF _Ref448880357 \w \h </w:instrText>
      </w:r>
      <w:r>
        <w:fldChar w:fldCharType="separate"/>
      </w:r>
      <w:r>
        <w:t>9.4</w:t>
      </w:r>
      <w:r>
        <w:fldChar w:fldCharType="end"/>
      </w:r>
      <w:r>
        <w:t xml:space="preserve"> and the unallocated Sale Securities total [</w:t>
      </w:r>
      <w:r>
        <w:rPr>
          <w:highlight w:val="yellow"/>
        </w:rPr>
        <w:t>50</w:t>
      </w:r>
      <w:r>
        <w:t>]% or more of the total issued Shares, the Seller must give each other Shareholder a notice (</w:t>
      </w:r>
      <w:r>
        <w:rPr>
          <w:b/>
        </w:rPr>
        <w:t>Tag Along Notice</w:t>
      </w:r>
      <w:r>
        <w:t xml:space="preserve">) of their intention. </w:t>
      </w:r>
    </w:p>
    <w:p w:rsidR="00025445" w:rsidRDefault="006D4E7B">
      <w:pPr>
        <w:pStyle w:val="Heading3"/>
      </w:pPr>
      <w:r>
        <w:t>A Tag Al</w:t>
      </w:r>
      <w:r>
        <w:t>ong Notice gives each other Shareholder the right (</w:t>
      </w:r>
      <w:r>
        <w:rPr>
          <w:b/>
        </w:rPr>
        <w:t>Tag Along Option</w:t>
      </w:r>
      <w:r>
        <w:t>) to require the Seller to procure the purchase by the proposed purchaser all of the Securities held by the other Shareholders and must include details of:</w:t>
      </w:r>
    </w:p>
    <w:p w:rsidR="00025445" w:rsidRDefault="006D4E7B">
      <w:pPr>
        <w:pStyle w:val="Heading4"/>
      </w:pPr>
      <w:r>
        <w:t xml:space="preserve">the name of the purchaser; </w:t>
      </w:r>
    </w:p>
    <w:p w:rsidR="00025445" w:rsidRDefault="006D4E7B">
      <w:pPr>
        <w:pStyle w:val="Heading4"/>
      </w:pPr>
      <w:r>
        <w:t>the n</w:t>
      </w:r>
      <w:r>
        <w:t>umber of Securities in the proposed Disposal to the third party;</w:t>
      </w:r>
    </w:p>
    <w:p w:rsidR="00025445" w:rsidRDefault="006D4E7B">
      <w:pPr>
        <w:pStyle w:val="Heading4"/>
      </w:pPr>
      <w:r>
        <w:t>the sale price and any other terms of the proposed Disposal to the purchaser; and</w:t>
      </w:r>
    </w:p>
    <w:p w:rsidR="00025445" w:rsidRDefault="006D4E7B">
      <w:pPr>
        <w:pStyle w:val="Heading4"/>
      </w:pPr>
      <w:r>
        <w:t>the period during which a Tag Along Option may be exercised, which must be a period of not less than [</w:t>
      </w:r>
      <w:r>
        <w:rPr>
          <w:highlight w:val="yellow"/>
        </w:rPr>
        <w:t>10</w:t>
      </w:r>
      <w:r>
        <w:t>] Bus</w:t>
      </w:r>
      <w:r>
        <w:t>iness Days from the date of service of the Tag Along Notice (</w:t>
      </w:r>
      <w:r>
        <w:rPr>
          <w:b/>
        </w:rPr>
        <w:t>Exercise Period</w:t>
      </w:r>
      <w:r>
        <w:t>).</w:t>
      </w:r>
    </w:p>
    <w:p w:rsidR="00025445" w:rsidRDefault="006D4E7B">
      <w:pPr>
        <w:pStyle w:val="Heading2"/>
      </w:pPr>
      <w:bookmarkStart w:id="50" w:name="_Toc485213341"/>
      <w:r>
        <w:t>Exercise of Tag Along Option</w:t>
      </w:r>
      <w:bookmarkEnd w:id="50"/>
    </w:p>
    <w:p w:rsidR="00025445" w:rsidRDefault="006D4E7B">
      <w:pPr>
        <w:pStyle w:val="Heading3"/>
      </w:pPr>
      <w:r>
        <w:t>A Tag Along Option may be exercised by notice (</w:t>
      </w:r>
      <w:r>
        <w:rPr>
          <w:b/>
        </w:rPr>
        <w:t>Exercise Notice</w:t>
      </w:r>
      <w:r>
        <w:t>) to the Seller given within the Exercise Period.</w:t>
      </w:r>
    </w:p>
    <w:p w:rsidR="00025445" w:rsidRDefault="006D4E7B">
      <w:pPr>
        <w:pStyle w:val="Heading3"/>
      </w:pPr>
      <w:r>
        <w:lastRenderedPageBreak/>
        <w:t>If a Shareholder exercises its Tag A</w:t>
      </w:r>
      <w:r>
        <w:t>long Option, the Seller must not Dispose of any Securities to the purchaser unless the purchaser, at the same time, buys the Securities specified in the Exercise Notice at the same price per Security and otherwise on the same terms.</w:t>
      </w:r>
    </w:p>
    <w:p w:rsidR="00025445" w:rsidRDefault="006D4E7B">
      <w:pPr>
        <w:pStyle w:val="Heading3"/>
      </w:pPr>
      <w:r>
        <w:t>If the Tag Along Option</w:t>
      </w:r>
      <w:r>
        <w:t xml:space="preserve"> is not exercised within the period specified in the Tag Along Notice, it will be deemed to have lapsed at midnight on the last day of the Exercise Period.</w:t>
      </w:r>
    </w:p>
    <w:p w:rsidR="00025445" w:rsidRDefault="006D4E7B">
      <w:pPr>
        <w:pStyle w:val="Heading1"/>
      </w:pPr>
      <w:bookmarkStart w:id="51" w:name="_Toc485213342"/>
      <w:r>
        <w:t>Drag Along</w:t>
      </w:r>
      <w:bookmarkEnd w:id="51"/>
      <w:r>
        <w:t xml:space="preserve"> </w:t>
      </w:r>
    </w:p>
    <w:p w:rsidR="00025445" w:rsidRDefault="006D4E7B">
      <w:pPr>
        <w:pStyle w:val="Heading2"/>
      </w:pPr>
      <w:bookmarkStart w:id="52" w:name="_Toc485213343"/>
      <w:r>
        <w:t>Drag Along Notice</w:t>
      </w:r>
      <w:r>
        <w:rPr>
          <w:rStyle w:val="FootnoteReference"/>
        </w:rPr>
        <w:footnoteReference w:id="27"/>
      </w:r>
      <w:bookmarkEnd w:id="52"/>
    </w:p>
    <w:p w:rsidR="00025445" w:rsidRDefault="006D4E7B">
      <w:pPr>
        <w:pStyle w:val="Heading3"/>
      </w:pPr>
      <w:r>
        <w:t>If the Company or any Shareholder receives a bona fide offer from a t</w:t>
      </w:r>
      <w:r>
        <w:t>hird party to purchase all of the Securities in the Company (</w:t>
      </w:r>
      <w:r>
        <w:rPr>
          <w:b/>
        </w:rPr>
        <w:t>Third Party Offer</w:t>
      </w:r>
      <w:r>
        <w:t>) and the holders of at least [</w:t>
      </w:r>
      <w:r>
        <w:rPr>
          <w:highlight w:val="yellow"/>
        </w:rPr>
        <w:t>75</w:t>
      </w:r>
      <w:r>
        <w:t>]% of the issued Shares accept the Third Party Offer (</w:t>
      </w:r>
      <w:r>
        <w:rPr>
          <w:b/>
        </w:rPr>
        <w:t>Dragging Shareholders</w:t>
      </w:r>
      <w:r>
        <w:t>) (provided that Shareholders holding a majority of the Seed Preferenc</w:t>
      </w:r>
      <w:r>
        <w:t>e Shares must be Dragging Shareholders)</w:t>
      </w:r>
      <w:r>
        <w:rPr>
          <w:rStyle w:val="FootnoteReference"/>
        </w:rPr>
        <w:footnoteReference w:id="28"/>
      </w:r>
      <w:r>
        <w:t>, any Dragging Shareholder is entitled to issue to some or all of the remaining Shareholders (</w:t>
      </w:r>
      <w:r>
        <w:rPr>
          <w:b/>
        </w:rPr>
        <w:t>Other Shareholders</w:t>
      </w:r>
      <w:r>
        <w:t>) a notice (</w:t>
      </w:r>
      <w:r>
        <w:rPr>
          <w:b/>
        </w:rPr>
        <w:t>Drag Along Notice</w:t>
      </w:r>
      <w:r>
        <w:t xml:space="preserve">) requiring each Other Shareholder to sell to the third party specified in </w:t>
      </w:r>
      <w:r>
        <w:t>the Drag Along Notice some or all of the Other Shareholders’ Securities upon the terms and conditions specified in the Drag Along Notice.</w:t>
      </w:r>
    </w:p>
    <w:p w:rsidR="00025445" w:rsidRDefault="006D4E7B">
      <w:pPr>
        <w:pStyle w:val="Heading3"/>
      </w:pPr>
      <w:r>
        <w:t xml:space="preserve">Despite anything else in this agreement the pre-emption procedure set out in clause </w:t>
      </w:r>
      <w:r>
        <w:fldChar w:fldCharType="begin"/>
      </w:r>
      <w:r>
        <w:instrText xml:space="preserve"> REF _Ref448880363 \w \h </w:instrText>
      </w:r>
      <w:r>
        <w:fldChar w:fldCharType="separate"/>
      </w:r>
      <w:r>
        <w:t>9</w:t>
      </w:r>
      <w:r>
        <w:fldChar w:fldCharType="end"/>
      </w:r>
      <w:r>
        <w:t xml:space="preserve"> does not apply to the relevant Securities once a Drag Along Notice has been issued.</w:t>
      </w:r>
      <w:r>
        <w:rPr>
          <w:rStyle w:val="FootnoteReference"/>
        </w:rPr>
        <w:footnoteReference w:id="29"/>
      </w:r>
    </w:p>
    <w:p w:rsidR="00025445" w:rsidRDefault="006D4E7B">
      <w:pPr>
        <w:pStyle w:val="Heading2"/>
      </w:pPr>
      <w:bookmarkStart w:id="53" w:name="_Toc485213344"/>
      <w:r>
        <w:t>Terms of Offer</w:t>
      </w:r>
      <w:bookmarkEnd w:id="53"/>
    </w:p>
    <w:p w:rsidR="00025445" w:rsidRDefault="006D4E7B">
      <w:pPr>
        <w:pStyle w:val="Heading3"/>
      </w:pPr>
      <w:r>
        <w:t xml:space="preserve">The terms on which the Dragging Shareholders require the Other Shareholders to sell their </w:t>
      </w:r>
      <w:r>
        <w:t>Securities must be no less favourable to the Other Shareholders than the terms on which the Dragging Shareholders are selling their Securities.</w:t>
      </w:r>
    </w:p>
    <w:p w:rsidR="00025445" w:rsidRDefault="006D4E7B">
      <w:pPr>
        <w:pStyle w:val="Heading3"/>
      </w:pPr>
      <w:r>
        <w:t>The Drag Along Notice must specify:</w:t>
      </w:r>
    </w:p>
    <w:p w:rsidR="00025445" w:rsidRDefault="006D4E7B">
      <w:pPr>
        <w:pStyle w:val="Heading4"/>
      </w:pPr>
      <w:r>
        <w:t>the details of the third party buyer;</w:t>
      </w:r>
    </w:p>
    <w:p w:rsidR="00025445" w:rsidRDefault="006D4E7B">
      <w:pPr>
        <w:pStyle w:val="Heading4"/>
      </w:pPr>
      <w:r>
        <w:t>the consideration payable for each Sec</w:t>
      </w:r>
      <w:r>
        <w:t>urity; and</w:t>
      </w:r>
    </w:p>
    <w:p w:rsidR="00025445" w:rsidRDefault="006D4E7B">
      <w:pPr>
        <w:pStyle w:val="Heading4"/>
      </w:pPr>
      <w:r>
        <w:lastRenderedPageBreak/>
        <w:t xml:space="preserve">any other key terms and conditions upon which the Other Shareholders’ Securities will be purchased pursuant to the Drag Along Notice. </w:t>
      </w:r>
    </w:p>
    <w:p w:rsidR="00025445" w:rsidRDefault="006D4E7B">
      <w:pPr>
        <w:pStyle w:val="Heading3"/>
      </w:pPr>
      <w:bookmarkStart w:id="54" w:name="_Ref448880390"/>
      <w:r>
        <w:t xml:space="preserve">Subject to clause </w:t>
      </w:r>
      <w:r>
        <w:fldChar w:fldCharType="begin"/>
      </w:r>
      <w:r>
        <w:instrText xml:space="preserve"> REF _Ref448880383 \w \h </w:instrText>
      </w:r>
      <w:r>
        <w:fldChar w:fldCharType="separate"/>
      </w:r>
      <w:r>
        <w:t>10.2(d)</w:t>
      </w:r>
      <w:r>
        <w:fldChar w:fldCharType="end"/>
      </w:r>
      <w:r>
        <w:t>, each Other Shareholder must, within 10 Business Days of service of the Drag Along Notice sell all of their Securities to the third party buyer specified in the Drag Along Notice in accordance with the key terms and conditions of the Drag Along No</w:t>
      </w:r>
      <w:r>
        <w:t>tice.</w:t>
      </w:r>
      <w:bookmarkEnd w:id="54"/>
      <w:r>
        <w:t xml:space="preserve"> </w:t>
      </w:r>
    </w:p>
    <w:p w:rsidR="00025445" w:rsidRDefault="006D4E7B">
      <w:pPr>
        <w:pStyle w:val="Heading3"/>
      </w:pPr>
      <w:bookmarkStart w:id="55" w:name="_Ref448880383"/>
      <w:r>
        <w:t xml:space="preserve">The Other Shareholders are not obliged to sell their Securities in accordance with clause </w:t>
      </w:r>
      <w:r>
        <w:fldChar w:fldCharType="begin"/>
      </w:r>
      <w:r>
        <w:instrText xml:space="preserve"> REF _Ref448880390 \w \h </w:instrText>
      </w:r>
      <w:r>
        <w:fldChar w:fldCharType="separate"/>
      </w:r>
      <w:r>
        <w:t>10.2(c)</w:t>
      </w:r>
      <w:r>
        <w:fldChar w:fldCharType="end"/>
      </w:r>
      <w:r>
        <w:t xml:space="preserve"> if the Dragging Shareholders do not complete the sale of al</w:t>
      </w:r>
      <w:r>
        <w:t>l their Securities to the third party buyer on the same key terms and conditions set out in the Drag Along Notice.</w:t>
      </w:r>
      <w:bookmarkEnd w:id="55"/>
    </w:p>
    <w:p w:rsidR="00025445" w:rsidRDefault="006D4E7B">
      <w:pPr>
        <w:pStyle w:val="Heading1"/>
      </w:pPr>
      <w:bookmarkStart w:id="56" w:name="_Ref448880245"/>
      <w:bookmarkStart w:id="57" w:name="_Ref475365742"/>
      <w:bookmarkStart w:id="58" w:name="_Toc485213345"/>
      <w:r>
        <w:rPr>
          <w:rStyle w:val="FootnoteReference"/>
        </w:rPr>
        <w:footnoteReference w:id="30"/>
      </w:r>
      <w:r>
        <w:t>Founder Vesting</w:t>
      </w:r>
      <w:bookmarkEnd w:id="56"/>
      <w:r>
        <w:rPr>
          <w:rStyle w:val="FootnoteReference"/>
        </w:rPr>
        <w:footnoteReference w:id="31"/>
      </w:r>
      <w:bookmarkEnd w:id="57"/>
      <w:bookmarkEnd w:id="58"/>
    </w:p>
    <w:p w:rsidR="00025445" w:rsidRDefault="006D4E7B">
      <w:pPr>
        <w:pStyle w:val="Heading2"/>
      </w:pPr>
      <w:bookmarkStart w:id="59" w:name="_Toc485213346"/>
      <w:r>
        <w:t>Vesting of Founder Shares</w:t>
      </w:r>
      <w:r>
        <w:rPr>
          <w:rStyle w:val="FootnoteReference"/>
        </w:rPr>
        <w:footnoteReference w:id="32"/>
      </w:r>
      <w:bookmarkEnd w:id="59"/>
    </w:p>
    <w:p w:rsidR="00025445" w:rsidRDefault="006D4E7B">
      <w:pPr>
        <w:pStyle w:val="bodytext2"/>
      </w:pPr>
      <w:r>
        <w:t>[</w:t>
      </w:r>
      <w:r>
        <w:rPr>
          <w:highlight w:val="yellow"/>
        </w:rPr>
        <w:t>50</w:t>
      </w:r>
      <w:r>
        <w:t xml:space="preserve">]% of the Shares held by each Founder or Founder Entity (as applicable) as at the date of </w:t>
      </w:r>
      <w:r>
        <w:t>this agreement will be Unvested Shares, and those Unvested Shares will vest as follows:</w:t>
      </w:r>
      <w:r>
        <w:rPr>
          <w:rStyle w:val="FootnoteReference"/>
        </w:rPr>
        <w:t xml:space="preserve"> </w:t>
      </w:r>
      <w:r>
        <w:rPr>
          <w:rStyle w:val="FootnoteReference"/>
        </w:rPr>
        <w:footnoteReference w:id="33"/>
      </w:r>
    </w:p>
    <w:p w:rsidR="00025445" w:rsidRDefault="006D4E7B">
      <w:pPr>
        <w:pStyle w:val="Heading3"/>
      </w:pPr>
      <w:r>
        <w:t>[</w:t>
      </w:r>
      <w:r>
        <w:rPr>
          <w:highlight w:val="yellow"/>
        </w:rPr>
        <w:t>25</w:t>
      </w:r>
      <w:r>
        <w:t>]% will vest on the date that is [</w:t>
      </w:r>
      <w:r>
        <w:rPr>
          <w:highlight w:val="yellow"/>
        </w:rPr>
        <w:t>12</w:t>
      </w:r>
      <w:r>
        <w:t>] months after the date of this agreement; and</w:t>
      </w:r>
    </w:p>
    <w:p w:rsidR="00025445" w:rsidRDefault="006D4E7B">
      <w:pPr>
        <w:pStyle w:val="Heading3"/>
      </w:pPr>
      <w:r>
        <w:t>at a rate of [</w:t>
      </w:r>
      <w:r>
        <w:rPr>
          <w:highlight w:val="yellow"/>
        </w:rPr>
        <w:t>1/36th</w:t>
      </w:r>
      <w:r>
        <w:t>] of the balance at the end of each month period thereafter,</w:t>
      </w:r>
      <w:r>
        <w:t xml:space="preserve"> provided that the relevant Founder remains engaged by the Company to provide services, whether as a contractor or employee at the date of vesting.</w:t>
      </w:r>
    </w:p>
    <w:p w:rsidR="00025445" w:rsidRDefault="006D4E7B">
      <w:pPr>
        <w:pStyle w:val="Heading2"/>
      </w:pPr>
      <w:bookmarkStart w:id="60" w:name="_Ref448880410"/>
      <w:bookmarkStart w:id="61" w:name="_Toc485213347"/>
      <w:r>
        <w:lastRenderedPageBreak/>
        <w:t>Right to purchase Founder Shares</w:t>
      </w:r>
      <w:bookmarkEnd w:id="60"/>
      <w:bookmarkEnd w:id="61"/>
    </w:p>
    <w:p w:rsidR="00025445" w:rsidRDefault="006D4E7B">
      <w:pPr>
        <w:pStyle w:val="bodytext2"/>
      </w:pPr>
      <w:r>
        <w:t>In consideration of the payment of $1 by the Company to each Founder Entity</w:t>
      </w:r>
      <w:r>
        <w:t>, then each Founder Entity agrees that</w:t>
      </w:r>
      <w:r>
        <w:rPr>
          <w:rStyle w:val="FootnoteReference"/>
        </w:rPr>
        <w:footnoteReference w:id="34"/>
      </w:r>
      <w:r>
        <w:t xml:space="preserve"> if that Founder (or their Affiliate, as the case may be):</w:t>
      </w:r>
    </w:p>
    <w:p w:rsidR="00025445" w:rsidRDefault="006D4E7B">
      <w:pPr>
        <w:pStyle w:val="Heading3"/>
      </w:pPr>
      <w:r>
        <w:t>ceases to be employed or engaged by a Group Company;</w:t>
      </w:r>
    </w:p>
    <w:p w:rsidR="00025445" w:rsidRDefault="006D4E7B">
      <w:pPr>
        <w:pStyle w:val="Heading3"/>
      </w:pPr>
      <w:r>
        <w:t>attempts to transfer any of its Unvested Shares (other than as permitted by this agreement); or</w:t>
      </w:r>
    </w:p>
    <w:p w:rsidR="00025445" w:rsidRDefault="006D4E7B">
      <w:pPr>
        <w:pStyle w:val="Heading3"/>
      </w:pPr>
      <w:r>
        <w:t xml:space="preserve">breaches </w:t>
      </w:r>
      <w:r>
        <w:t xml:space="preserve">the covenants set out in clause </w:t>
      </w:r>
      <w:r>
        <w:fldChar w:fldCharType="begin"/>
      </w:r>
      <w:r>
        <w:instrText xml:space="preserve"> REF _Ref448880399 \w \h </w:instrText>
      </w:r>
      <w:r>
        <w:fldChar w:fldCharType="separate"/>
      </w:r>
      <w:r>
        <w:t>13</w:t>
      </w:r>
      <w:r>
        <w:fldChar w:fldCharType="end"/>
      </w:r>
      <w:r>
        <w:t>,</w:t>
      </w:r>
    </w:p>
    <w:p w:rsidR="00025445" w:rsidRDefault="006D4E7B">
      <w:pPr>
        <w:pStyle w:val="bodytext2"/>
      </w:pPr>
      <w:r>
        <w:t>the Company may, by written notice to the Founder or Founder Entity (as applicable), buy back, or direct the Founder Entity to t</w:t>
      </w:r>
      <w:r>
        <w:t>ransfer to a person nominated by the Board,</w:t>
      </w:r>
      <w:r>
        <w:rPr>
          <w:rStyle w:val="FootnoteReference"/>
        </w:rPr>
        <w:footnoteReference w:id="35"/>
      </w:r>
      <w:r>
        <w:t xml:space="preserve"> the Unvested Shares from the Founder or Founder Entity (as applicable) for a price equal to $1.00 in total for all Unvested Shares and the Founder or Founder Entity (as applicable) must do everything necessary t</w:t>
      </w:r>
      <w:r>
        <w:t>o facilitate the sale of the Unvested Shares to the Company within 5 Business Days of the Company's notice.</w:t>
      </w:r>
    </w:p>
    <w:p w:rsidR="00025445" w:rsidRDefault="006D4E7B">
      <w:pPr>
        <w:pStyle w:val="Heading2"/>
      </w:pPr>
      <w:bookmarkStart w:id="62" w:name="_Toc485213348"/>
      <w:r>
        <w:t>Restriction</w:t>
      </w:r>
      <w:bookmarkEnd w:id="62"/>
    </w:p>
    <w:p w:rsidR="00025445" w:rsidRDefault="006D4E7B">
      <w:pPr>
        <w:pStyle w:val="bodytext2"/>
      </w:pPr>
      <w:r>
        <w:t xml:space="preserve">Despite clause </w:t>
      </w:r>
      <w:r>
        <w:fldChar w:fldCharType="begin"/>
      </w:r>
      <w:r>
        <w:instrText xml:space="preserve"> REF _Ref448880410 \w \h </w:instrText>
      </w:r>
      <w:r>
        <w:fldChar w:fldCharType="separate"/>
      </w:r>
      <w:r>
        <w:t>11.2</w:t>
      </w:r>
      <w:r>
        <w:fldChar w:fldCharType="end"/>
      </w:r>
      <w:r>
        <w:t>, the Company may only b</w:t>
      </w:r>
      <w:r>
        <w:t>uy back the Unvested Shares if that is permitted under Part 2J.1 of the Corporations Act and, for the avoidance of doubt, if the buyback will not materially prejudice the Company's ability to pay its creditors.</w:t>
      </w:r>
    </w:p>
    <w:p w:rsidR="00025445" w:rsidRDefault="006D4E7B">
      <w:pPr>
        <w:pStyle w:val="Heading1"/>
      </w:pPr>
      <w:bookmarkStart w:id="63" w:name="_Toc485213349"/>
      <w:r>
        <w:t>Bad leaver arrangements</w:t>
      </w:r>
      <w:r>
        <w:rPr>
          <w:rStyle w:val="FootnoteReference"/>
        </w:rPr>
        <w:footnoteReference w:id="36"/>
      </w:r>
      <w:r>
        <w:rPr>
          <w:rStyle w:val="FootnoteReference"/>
        </w:rPr>
        <w:footnoteReference w:id="37"/>
      </w:r>
      <w:bookmarkEnd w:id="63"/>
    </w:p>
    <w:p w:rsidR="00025445" w:rsidRDefault="006D4E7B">
      <w:pPr>
        <w:pStyle w:val="Heading2"/>
      </w:pPr>
      <w:bookmarkStart w:id="64" w:name="_Ref448880457"/>
      <w:bookmarkStart w:id="65" w:name="_Toc485213350"/>
      <w:r>
        <w:t>Bad Leaver</w:t>
      </w:r>
      <w:bookmarkEnd w:id="64"/>
      <w:bookmarkEnd w:id="65"/>
    </w:p>
    <w:p w:rsidR="00025445" w:rsidRDefault="006D4E7B">
      <w:pPr>
        <w:pStyle w:val="Heading3"/>
      </w:pPr>
      <w:bookmarkStart w:id="66" w:name="_Ref448880426"/>
      <w:r>
        <w:t>In consi</w:t>
      </w:r>
      <w:r>
        <w:t xml:space="preserve">deration of the payment of $1 by the Company to each Founder Entity, then each Founder Entity agrees that if a Founder (or their Affiliate, as the case may be) ceases to be employed or engaged by a Group Company in </w:t>
      </w:r>
      <w:r>
        <w:lastRenderedPageBreak/>
        <w:t>circumstances where they are a Bad Leaver</w:t>
      </w:r>
      <w:r>
        <w:t>, the Company may by written notice, buy back the Shares held by the Founder or Founder Entity, as applicable (</w:t>
      </w:r>
      <w:r>
        <w:rPr>
          <w:b/>
        </w:rPr>
        <w:t>Default Shares</w:t>
      </w:r>
      <w:r>
        <w:t>) from the Founder or Founder Entity (as applicable) or direct the Founder or Founder Entity (as applicable) to transfer to a perso</w:t>
      </w:r>
      <w:r>
        <w:t xml:space="preserve">n nominated by the Board all of the Default Shares at the price set out in clause </w:t>
      </w:r>
      <w:r>
        <w:fldChar w:fldCharType="begin"/>
      </w:r>
      <w:r>
        <w:instrText xml:space="preserve"> REF _Ref448880418 \w \h </w:instrText>
      </w:r>
      <w:r>
        <w:fldChar w:fldCharType="separate"/>
      </w:r>
      <w:r>
        <w:t>12.2</w:t>
      </w:r>
      <w:r>
        <w:fldChar w:fldCharType="end"/>
      </w:r>
      <w:r>
        <w:t>.</w:t>
      </w:r>
      <w:bookmarkEnd w:id="66"/>
      <w:r>
        <w:t xml:space="preserve"> For the avoidance of any doubt, the Default Shares exclude any Unvested Shares, which will be dealt with in accordance with clause </w:t>
      </w:r>
      <w:r>
        <w:fldChar w:fldCharType="begin"/>
      </w:r>
      <w:r>
        <w:instrText xml:space="preserve"> REF _Ref448880410 \r \h </w:instrText>
      </w:r>
      <w:r>
        <w:fldChar w:fldCharType="separate"/>
      </w:r>
      <w:r>
        <w:t>11.2</w:t>
      </w:r>
      <w:r>
        <w:fldChar w:fldCharType="end"/>
      </w:r>
      <w:r>
        <w:t xml:space="preserve"> of this agreement.</w:t>
      </w:r>
      <w:r>
        <w:rPr>
          <w:rStyle w:val="FootnoteReference"/>
        </w:rPr>
        <w:footnoteReference w:id="38"/>
      </w:r>
      <w:r>
        <w:t xml:space="preserve"> </w:t>
      </w:r>
    </w:p>
    <w:p w:rsidR="00025445" w:rsidRDefault="006D4E7B">
      <w:pPr>
        <w:pStyle w:val="Heading3"/>
      </w:pPr>
      <w:bookmarkStart w:id="67" w:name="_Ref448880444"/>
      <w:r>
        <w:t>If the</w:t>
      </w:r>
      <w:r>
        <w:t xml:space="preserve"> Company notifies the Founder or Founder Entity (as applicable) that it wishes to buy back or require a compulsory transfer of the Default Shares under clause </w:t>
      </w:r>
      <w:r>
        <w:fldChar w:fldCharType="begin"/>
      </w:r>
      <w:r>
        <w:instrText xml:space="preserve"> REF _Ref448880426 \w \h </w:instrText>
      </w:r>
      <w:r>
        <w:fldChar w:fldCharType="separate"/>
      </w:r>
      <w:r>
        <w:t>12.1(a)</w:t>
      </w:r>
      <w:r>
        <w:fldChar w:fldCharType="end"/>
      </w:r>
      <w:r>
        <w:t>, the Founder or Founder Entity (as applicable) and the other Shareholders must do everything necessary to facilitate the sale of the Default Shares to the Company or the Company’s nominee within 10 Business Days of the Company's notice.</w:t>
      </w:r>
      <w:bookmarkEnd w:id="67"/>
      <w:r>
        <w:t xml:space="preserve"> </w:t>
      </w:r>
    </w:p>
    <w:p w:rsidR="00025445" w:rsidRDefault="006D4E7B">
      <w:pPr>
        <w:pStyle w:val="Heading3"/>
      </w:pPr>
      <w:r>
        <w:t>Despite clauses</w:t>
      </w:r>
      <w:r>
        <w:t xml:space="preserve"> </w:t>
      </w:r>
      <w:r>
        <w:fldChar w:fldCharType="begin"/>
      </w:r>
      <w:r>
        <w:instrText xml:space="preserve"> REF _Ref448880426 \w \h </w:instrText>
      </w:r>
      <w:r>
        <w:fldChar w:fldCharType="separate"/>
      </w:r>
      <w:r>
        <w:t>12.1(a)</w:t>
      </w:r>
      <w:r>
        <w:fldChar w:fldCharType="end"/>
      </w:r>
      <w:r>
        <w:t xml:space="preserve"> and </w:t>
      </w:r>
      <w:r>
        <w:fldChar w:fldCharType="begin"/>
      </w:r>
      <w:r>
        <w:instrText xml:space="preserve"> REF _Ref448880444 \w \h </w:instrText>
      </w:r>
      <w:r>
        <w:fldChar w:fldCharType="separate"/>
      </w:r>
      <w:r>
        <w:t>12.1(b)</w:t>
      </w:r>
      <w:r>
        <w:fldChar w:fldCharType="end"/>
      </w:r>
      <w:r>
        <w:t>, the Company may only buy back the Default Shares i</w:t>
      </w:r>
      <w:r>
        <w:t>f that is permitted under Part 2J.1 of the Corporations Act and, for the avoidance of doubt, if the buyback will not materially prejudice the Company's ability to pay its creditors.</w:t>
      </w:r>
    </w:p>
    <w:p w:rsidR="00025445" w:rsidRDefault="006D4E7B">
      <w:pPr>
        <w:pStyle w:val="Heading2"/>
      </w:pPr>
      <w:bookmarkStart w:id="68" w:name="_Ref448880418"/>
      <w:bookmarkStart w:id="69" w:name="_Toc485213351"/>
      <w:r>
        <w:t>Price for Default Shares</w:t>
      </w:r>
      <w:bookmarkEnd w:id="68"/>
      <w:bookmarkEnd w:id="69"/>
    </w:p>
    <w:p w:rsidR="00025445" w:rsidRDefault="006D4E7B">
      <w:pPr>
        <w:pStyle w:val="bodytext2"/>
      </w:pPr>
      <w:r>
        <w:t>The price for the Default Shares (</w:t>
      </w:r>
      <w:r>
        <w:rPr>
          <w:b/>
        </w:rPr>
        <w:t>Default Price</w:t>
      </w:r>
      <w:r>
        <w:t xml:space="preserve">) </w:t>
      </w:r>
      <w:r>
        <w:t>is [</w:t>
      </w:r>
      <w:r>
        <w:rPr>
          <w:highlight w:val="yellow"/>
        </w:rPr>
        <w:t>50</w:t>
      </w:r>
      <w:r>
        <w:t>]% of Fair Market Value.</w:t>
      </w:r>
    </w:p>
    <w:p w:rsidR="00025445" w:rsidRDefault="006D4E7B">
      <w:pPr>
        <w:pStyle w:val="Heading2"/>
      </w:pPr>
      <w:bookmarkStart w:id="70" w:name="_Toc485213352"/>
      <w:r>
        <w:t>Other remedies</w:t>
      </w:r>
      <w:bookmarkEnd w:id="70"/>
    </w:p>
    <w:p w:rsidR="00025445" w:rsidRDefault="006D4E7B">
      <w:pPr>
        <w:pStyle w:val="bodytext2"/>
      </w:pPr>
      <w:r>
        <w:t>The rights and remedies set out in this clause do not exclude any other rights or remedies that a party may have against a party in default of this agreement.</w:t>
      </w:r>
    </w:p>
    <w:p w:rsidR="00025445" w:rsidRDefault="006D4E7B">
      <w:pPr>
        <w:pStyle w:val="Heading2"/>
      </w:pPr>
      <w:bookmarkStart w:id="71" w:name="_Toc485213353"/>
      <w:r>
        <w:t>Suspension</w:t>
      </w:r>
      <w:bookmarkEnd w:id="71"/>
    </w:p>
    <w:p w:rsidR="00025445" w:rsidRDefault="006D4E7B">
      <w:pPr>
        <w:pStyle w:val="bodytext2"/>
        <w:keepNext/>
        <w:ind w:left="677"/>
      </w:pPr>
      <w:r>
        <w:t xml:space="preserve">To the extent that the Law allows, from </w:t>
      </w:r>
      <w:r>
        <w:t xml:space="preserve">the time of giving notice under clause </w:t>
      </w:r>
      <w:r>
        <w:fldChar w:fldCharType="begin"/>
      </w:r>
      <w:r>
        <w:instrText xml:space="preserve"> REF _Ref448880457 \w \h </w:instrText>
      </w:r>
      <w:r>
        <w:fldChar w:fldCharType="separate"/>
      </w:r>
      <w:r>
        <w:t>12.1</w:t>
      </w:r>
      <w:r>
        <w:fldChar w:fldCharType="end"/>
      </w:r>
      <w:r>
        <w:t>:</w:t>
      </w:r>
    </w:p>
    <w:p w:rsidR="00025445" w:rsidRDefault="006D4E7B">
      <w:pPr>
        <w:pStyle w:val="Heading3"/>
      </w:pPr>
      <w:r>
        <w:t>the Founder or Founder Entity (as applicable) and any person appointed as a Director by that party is deemed to have p</w:t>
      </w:r>
      <w:r>
        <w:t xml:space="preserve">rovided a resignation notice to the Company at the same time as a Founder or Founder Entity (as applicable) is notified pursuant to clause </w:t>
      </w:r>
      <w:r>
        <w:fldChar w:fldCharType="begin"/>
      </w:r>
      <w:r>
        <w:instrText xml:space="preserve"> REF _Ref448880457 \w \h </w:instrText>
      </w:r>
      <w:r>
        <w:fldChar w:fldCharType="separate"/>
      </w:r>
      <w:r>
        <w:t>12.1</w:t>
      </w:r>
      <w:r>
        <w:fldChar w:fldCharType="end"/>
      </w:r>
      <w:r>
        <w:t xml:space="preserve"> and is automaticall</w:t>
      </w:r>
      <w:r>
        <w:t>y removed from the Board at that time, and has no further right to participate in the Business or management of the Group; and</w:t>
      </w:r>
    </w:p>
    <w:p w:rsidR="00025445" w:rsidRDefault="006D4E7B">
      <w:pPr>
        <w:pStyle w:val="Heading3"/>
      </w:pPr>
      <w:r>
        <w:t>the rights of the relevant Founder or Founder Entity (as applicable) as a holder of Securities (including dividend and distributi</w:t>
      </w:r>
      <w:r>
        <w:t>on rights in relation to Securities, and the rights to attend and vote at general meetings of Shareholders and to receive information and documents) are suspended until those Securities have been acquired by the Company or as directed by the Company.</w:t>
      </w:r>
    </w:p>
    <w:p w:rsidR="00025445" w:rsidRDefault="006D4E7B">
      <w:pPr>
        <w:pStyle w:val="Heading2"/>
      </w:pPr>
      <w:bookmarkStart w:id="72" w:name="_Toc485213354"/>
      <w:r>
        <w:lastRenderedPageBreak/>
        <w:t xml:space="preserve">Fair </w:t>
      </w:r>
      <w:r>
        <w:t>Market Value</w:t>
      </w:r>
      <w:bookmarkEnd w:id="72"/>
      <w:r>
        <w:t xml:space="preserve"> </w:t>
      </w:r>
    </w:p>
    <w:p w:rsidR="00025445" w:rsidRDefault="006D4E7B">
      <w:pPr>
        <w:pStyle w:val="Heading3"/>
      </w:pPr>
      <w:r>
        <w:t>The Board will determine by Required Resolution the Fair Market Value of the Default Shares and will notify the Founder within 5 Business Days of such determination.</w:t>
      </w:r>
    </w:p>
    <w:p w:rsidR="00025445" w:rsidRDefault="006D4E7B">
      <w:pPr>
        <w:pStyle w:val="Heading3"/>
      </w:pPr>
      <w:r>
        <w:t>If the Board is unable to determine the Fair Market Value by required Resolu</w:t>
      </w:r>
      <w:r>
        <w:t>tion, the Board must appoint an Independent Expert to determine the Fair Market Value.</w:t>
      </w:r>
    </w:p>
    <w:p w:rsidR="00025445" w:rsidRDefault="006D4E7B">
      <w:pPr>
        <w:pStyle w:val="Heading1"/>
      </w:pPr>
      <w:bookmarkStart w:id="73" w:name="_Ref448880399"/>
      <w:bookmarkStart w:id="74" w:name="_Toc485213355"/>
      <w:r>
        <w:t>Non-competition</w:t>
      </w:r>
      <w:bookmarkEnd w:id="73"/>
      <w:bookmarkEnd w:id="74"/>
      <w:r>
        <w:t xml:space="preserve"> </w:t>
      </w:r>
    </w:p>
    <w:p w:rsidR="00025445" w:rsidRDefault="006D4E7B">
      <w:pPr>
        <w:pStyle w:val="Heading2"/>
      </w:pPr>
      <w:bookmarkStart w:id="75" w:name="_Toc485213356"/>
      <w:r>
        <w:t>Enforceability and severance</w:t>
      </w:r>
      <w:bookmarkEnd w:id="75"/>
    </w:p>
    <w:p w:rsidR="00025445" w:rsidRDefault="006D4E7B">
      <w:pPr>
        <w:pStyle w:val="Heading3"/>
      </w:pPr>
      <w:r>
        <w:t xml:space="preserve">This clause has effect as if it were separate and independent clauses, each one being severable from the others and consisting of the covenant set out in clause </w:t>
      </w:r>
      <w:r>
        <w:fldChar w:fldCharType="begin"/>
      </w:r>
      <w:r>
        <w:instrText xml:space="preserve"> REF _Ref448880473 \w \h </w:instrText>
      </w:r>
      <w:r>
        <w:fldChar w:fldCharType="separate"/>
      </w:r>
      <w:r>
        <w:t>13.2</w:t>
      </w:r>
      <w:r>
        <w:fldChar w:fldCharType="end"/>
      </w:r>
      <w:r>
        <w:t xml:space="preserve"> combined with each separate period referred to in clause </w:t>
      </w:r>
      <w:r>
        <w:fldChar w:fldCharType="begin"/>
      </w:r>
      <w:r>
        <w:instrText xml:space="preserve"> REF _Ref448880477 \w \h </w:instrText>
      </w:r>
      <w:r>
        <w:fldChar w:fldCharType="separate"/>
      </w:r>
      <w:r>
        <w:t>13.3</w:t>
      </w:r>
      <w:r>
        <w:fldChar w:fldCharType="end"/>
      </w:r>
      <w:r>
        <w:t>, and each combination combined with each separate area referred to in clause </w:t>
      </w:r>
      <w:r>
        <w:fldChar w:fldCharType="begin"/>
      </w:r>
      <w:r>
        <w:instrText xml:space="preserve"> REF _Ref448880481 \w </w:instrText>
      </w:r>
      <w:r>
        <w:instrText xml:space="preserve">\h </w:instrText>
      </w:r>
      <w:r>
        <w:fldChar w:fldCharType="separate"/>
      </w:r>
      <w:r>
        <w:t>13.4</w:t>
      </w:r>
      <w:r>
        <w:fldChar w:fldCharType="end"/>
      </w:r>
      <w:r>
        <w:t>.</w:t>
      </w:r>
    </w:p>
    <w:p w:rsidR="00025445" w:rsidRDefault="006D4E7B">
      <w:pPr>
        <w:pStyle w:val="Heading3"/>
      </w:pPr>
      <w:r>
        <w:t>If any of these separate clauses are void, invalid or unenforceable for any reason, it will be deemed to be severed to the extent that it is void or to the extent of voidability, invalidity or unenforceability and will not affect the validity or enforceabi</w:t>
      </w:r>
      <w:r>
        <w:t xml:space="preserve">lity of any other separate clause or other combinations of the separate provisions of clauses </w:t>
      </w:r>
      <w:r>
        <w:fldChar w:fldCharType="begin"/>
      </w:r>
      <w:r>
        <w:instrText xml:space="preserve"> REF _Ref448880473 \w \h </w:instrText>
      </w:r>
      <w:r>
        <w:fldChar w:fldCharType="separate"/>
      </w:r>
      <w:r>
        <w:t>13.2</w:t>
      </w:r>
      <w:r>
        <w:fldChar w:fldCharType="end"/>
      </w:r>
      <w:r>
        <w:t xml:space="preserve">, </w:t>
      </w:r>
      <w:r>
        <w:fldChar w:fldCharType="begin"/>
      </w:r>
      <w:r>
        <w:instrText xml:space="preserve"> REF _Ref448880477 \w \h </w:instrText>
      </w:r>
      <w:r>
        <w:fldChar w:fldCharType="separate"/>
      </w:r>
      <w:r>
        <w:t>13.3</w:t>
      </w:r>
      <w:r>
        <w:fldChar w:fldCharType="end"/>
      </w:r>
      <w:r>
        <w:t xml:space="preserve"> and </w:t>
      </w:r>
      <w:r>
        <w:fldChar w:fldCharType="begin"/>
      </w:r>
      <w:r>
        <w:instrText xml:space="preserve"> REF _Ref448880481 \w \h </w:instrText>
      </w:r>
      <w:r>
        <w:fldChar w:fldCharType="separate"/>
      </w:r>
      <w:r>
        <w:t>13.4</w:t>
      </w:r>
      <w:r>
        <w:fldChar w:fldCharType="end"/>
      </w:r>
      <w:r>
        <w:t>.</w:t>
      </w:r>
    </w:p>
    <w:p w:rsidR="00025445" w:rsidRDefault="006D4E7B">
      <w:pPr>
        <w:pStyle w:val="Heading2"/>
      </w:pPr>
      <w:bookmarkStart w:id="76" w:name="_Ref448880473"/>
      <w:bookmarkStart w:id="77" w:name="_Toc485213357"/>
      <w:r>
        <w:t>Prohibited activities</w:t>
      </w:r>
      <w:bookmarkEnd w:id="76"/>
      <w:bookmarkEnd w:id="77"/>
    </w:p>
    <w:p w:rsidR="00025445" w:rsidRDefault="006D4E7B">
      <w:pPr>
        <w:pStyle w:val="bodytext2"/>
      </w:pPr>
      <w:r>
        <w:t>Each Shareholder other than the Investor (</w:t>
      </w:r>
      <w:r>
        <w:rPr>
          <w:b/>
        </w:rPr>
        <w:t>Restrained Shareholder</w:t>
      </w:r>
      <w:r>
        <w:t>)</w:t>
      </w:r>
      <w:r>
        <w:rPr>
          <w:rStyle w:val="FootnoteReference"/>
        </w:rPr>
        <w:footnoteReference w:id="39"/>
      </w:r>
      <w:r>
        <w:t xml:space="preserve"> undertakes to the Group that it</w:t>
      </w:r>
      <w:r>
        <w:t xml:space="preserve"> will not and will procure that their Affiliates do not:</w:t>
      </w:r>
    </w:p>
    <w:p w:rsidR="00025445" w:rsidRDefault="006D4E7B">
      <w:pPr>
        <w:pStyle w:val="Heading3"/>
      </w:pPr>
      <w:r>
        <w:t>engage in a business or activity that is the same or similar to, or competes with, the Business or any material part of the Business;</w:t>
      </w:r>
    </w:p>
    <w:p w:rsidR="00025445" w:rsidRDefault="006D4E7B">
      <w:pPr>
        <w:pStyle w:val="Heading3"/>
      </w:pPr>
      <w:r>
        <w:t>employ, solicit or entice away from a Group Company an officer, m</w:t>
      </w:r>
      <w:r>
        <w:t>anager, consultant or employee of a Group Company or a person who was an officer, manager, consultant or employee of any Group Company in the 12 months before the Restrained Shareholder ceased to hold Securities; or</w:t>
      </w:r>
    </w:p>
    <w:p w:rsidR="00025445" w:rsidRDefault="006D4E7B">
      <w:pPr>
        <w:pStyle w:val="Heading3"/>
      </w:pPr>
      <w:r>
        <w:t>attempt, counsel, procure or otherwise a</w:t>
      </w:r>
      <w:r>
        <w:t>ssist a person to do any of the acts referred to in this clause,</w:t>
      </w:r>
    </w:p>
    <w:p w:rsidR="00025445" w:rsidRDefault="006D4E7B">
      <w:pPr>
        <w:pStyle w:val="bodytext2"/>
      </w:pPr>
      <w:r>
        <w:t>except with the prior written consent of the Board by Required Resolution.</w:t>
      </w:r>
    </w:p>
    <w:p w:rsidR="00025445" w:rsidRDefault="006D4E7B">
      <w:pPr>
        <w:pStyle w:val="Heading2"/>
      </w:pPr>
      <w:bookmarkStart w:id="78" w:name="_Ref448880477"/>
      <w:bookmarkStart w:id="79" w:name="_Toc485213358"/>
      <w:r>
        <w:lastRenderedPageBreak/>
        <w:t>Duration of prohibition</w:t>
      </w:r>
      <w:bookmarkEnd w:id="78"/>
      <w:r>
        <w:rPr>
          <w:rStyle w:val="FootnoteReference"/>
        </w:rPr>
        <w:footnoteReference w:id="40"/>
      </w:r>
      <w:bookmarkEnd w:id="79"/>
    </w:p>
    <w:p w:rsidR="00025445" w:rsidRDefault="006D4E7B">
      <w:pPr>
        <w:pStyle w:val="bodytext2"/>
      </w:pPr>
      <w:r>
        <w:t xml:space="preserve">The undertakings in clause </w:t>
      </w:r>
      <w:r>
        <w:fldChar w:fldCharType="begin"/>
      </w:r>
      <w:r>
        <w:instrText xml:space="preserve"> REF _Ref448880477 \w \h </w:instrText>
      </w:r>
      <w:r>
        <w:fldChar w:fldCharType="separate"/>
      </w:r>
      <w:r>
        <w:t>13.3</w:t>
      </w:r>
      <w:r>
        <w:fldChar w:fldCharType="end"/>
      </w:r>
      <w:r>
        <w:t xml:space="preserve"> begin on the date each Restrained Shareholder first holds Securities and end:</w:t>
      </w:r>
    </w:p>
    <w:p w:rsidR="00025445" w:rsidRDefault="006D4E7B">
      <w:pPr>
        <w:pStyle w:val="Heading3"/>
      </w:pPr>
      <w:r>
        <w:t>3 years after the date on which the Restrained Shareholder ceased to hold Securities;</w:t>
      </w:r>
    </w:p>
    <w:p w:rsidR="00025445" w:rsidRDefault="006D4E7B">
      <w:pPr>
        <w:pStyle w:val="Heading3"/>
      </w:pPr>
      <w:r>
        <w:t xml:space="preserve">2 years after the date on which the Restrained Shareholder </w:t>
      </w:r>
      <w:r>
        <w:t>ceased to hold Securities; and</w:t>
      </w:r>
    </w:p>
    <w:p w:rsidR="00025445" w:rsidRDefault="006D4E7B">
      <w:pPr>
        <w:pStyle w:val="Heading3"/>
      </w:pPr>
      <w:r>
        <w:t>on the first anniversary of the date on which the Restrained Shareholder ceased to hold Securities.</w:t>
      </w:r>
    </w:p>
    <w:p w:rsidR="00025445" w:rsidRDefault="006D4E7B">
      <w:pPr>
        <w:pStyle w:val="Heading2"/>
      </w:pPr>
      <w:bookmarkStart w:id="80" w:name="_Ref448880481"/>
      <w:bookmarkStart w:id="81" w:name="_Toc485213359"/>
      <w:r>
        <w:t>Geographic application of prohibition</w:t>
      </w:r>
      <w:bookmarkEnd w:id="80"/>
      <w:r>
        <w:rPr>
          <w:rStyle w:val="FootnoteReference"/>
        </w:rPr>
        <w:footnoteReference w:id="41"/>
      </w:r>
      <w:bookmarkEnd w:id="81"/>
    </w:p>
    <w:p w:rsidR="00025445" w:rsidRDefault="006D4E7B">
      <w:pPr>
        <w:pStyle w:val="bodytext2"/>
      </w:pPr>
      <w:r>
        <w:t xml:space="preserve">The undertakings in clause </w:t>
      </w:r>
      <w:r>
        <w:fldChar w:fldCharType="begin"/>
      </w:r>
      <w:r>
        <w:instrText xml:space="preserve"> REF _Ref448880473 \w \h </w:instrText>
      </w:r>
      <w:r>
        <w:fldChar w:fldCharType="separate"/>
      </w:r>
      <w:r>
        <w:t>13.2</w:t>
      </w:r>
      <w:r>
        <w:fldChar w:fldCharType="end"/>
      </w:r>
      <w:r>
        <w:t xml:space="preserve"> apply if the activity prohibited by clause </w:t>
      </w:r>
      <w:r>
        <w:fldChar w:fldCharType="begin"/>
      </w:r>
      <w:r>
        <w:instrText xml:space="preserve"> REF _Ref448880473 \w \h </w:instrText>
      </w:r>
      <w:r>
        <w:fldChar w:fldCharType="separate"/>
      </w:r>
      <w:r>
        <w:t>13.2</w:t>
      </w:r>
      <w:r>
        <w:fldChar w:fldCharType="end"/>
      </w:r>
      <w:r>
        <w:t xml:space="preserve"> occurs in:</w:t>
      </w:r>
    </w:p>
    <w:p w:rsidR="00025445" w:rsidRDefault="006D4E7B">
      <w:pPr>
        <w:pStyle w:val="Heading3"/>
      </w:pPr>
      <w:r>
        <w:t>Australia;</w:t>
      </w:r>
    </w:p>
    <w:p w:rsidR="00025445" w:rsidRDefault="006D4E7B">
      <w:pPr>
        <w:pStyle w:val="Heading3"/>
      </w:pPr>
      <w:r>
        <w:t>New South Wales, Queensland and Victoria;</w:t>
      </w:r>
    </w:p>
    <w:p w:rsidR="00025445" w:rsidRDefault="006D4E7B">
      <w:pPr>
        <w:pStyle w:val="Heading3"/>
      </w:pPr>
      <w:r>
        <w:t>New South Wal</w:t>
      </w:r>
      <w:r>
        <w:t>es; and</w:t>
      </w:r>
    </w:p>
    <w:p w:rsidR="00025445" w:rsidRDefault="006D4E7B">
      <w:pPr>
        <w:pStyle w:val="Heading3"/>
      </w:pPr>
      <w:r>
        <w:t>within a radius of 10 kilometres from any location from which the Group conducts the Business at the date the Restrained Shareholder ceases to be a Shareholder,</w:t>
      </w:r>
    </w:p>
    <w:p w:rsidR="00025445" w:rsidRDefault="006D4E7B">
      <w:pPr>
        <w:pStyle w:val="bodytext2"/>
      </w:pPr>
      <w:r>
        <w:t xml:space="preserve">during the periods set out in clause </w:t>
      </w:r>
      <w:r>
        <w:fldChar w:fldCharType="begin"/>
      </w:r>
      <w:r>
        <w:instrText xml:space="preserve"> REF _Ref448880477 \w \h </w:instrText>
      </w:r>
      <w:r>
        <w:fldChar w:fldCharType="separate"/>
      </w:r>
      <w:r>
        <w:t>13.3</w:t>
      </w:r>
      <w:r>
        <w:fldChar w:fldCharType="end"/>
      </w:r>
      <w:r>
        <w:t>.</w:t>
      </w:r>
    </w:p>
    <w:p w:rsidR="00025445" w:rsidRDefault="006D4E7B">
      <w:pPr>
        <w:pStyle w:val="Heading1"/>
      </w:pPr>
      <w:bookmarkStart w:id="82" w:name="_Ref448880601"/>
      <w:bookmarkStart w:id="83" w:name="_Toc485213360"/>
      <w:r>
        <w:t>Confidentiality</w:t>
      </w:r>
      <w:bookmarkEnd w:id="82"/>
      <w:bookmarkEnd w:id="83"/>
    </w:p>
    <w:p w:rsidR="00025445" w:rsidRDefault="006D4E7B">
      <w:pPr>
        <w:pStyle w:val="Heading2"/>
      </w:pPr>
      <w:bookmarkStart w:id="84" w:name="_Ref448880195"/>
      <w:bookmarkStart w:id="85" w:name="_Toc485213361"/>
      <w:r>
        <w:t>Confidentiality</w:t>
      </w:r>
      <w:bookmarkEnd w:id="84"/>
      <w:bookmarkEnd w:id="85"/>
    </w:p>
    <w:p w:rsidR="00025445" w:rsidRDefault="006D4E7B">
      <w:pPr>
        <w:pStyle w:val="bodytext2"/>
      </w:pPr>
      <w:r>
        <w:t xml:space="preserve">Subject to clause </w:t>
      </w:r>
      <w:r>
        <w:fldChar w:fldCharType="begin"/>
      </w:r>
      <w:r>
        <w:instrText xml:space="preserve"> REF _Ref448880534 \w \h </w:instrText>
      </w:r>
      <w:r>
        <w:fldChar w:fldCharType="separate"/>
      </w:r>
      <w:r>
        <w:t>14.2</w:t>
      </w:r>
      <w:r>
        <w:fldChar w:fldCharType="end"/>
      </w:r>
      <w:r>
        <w:t>, no party may:</w:t>
      </w:r>
    </w:p>
    <w:p w:rsidR="00025445" w:rsidRDefault="006D4E7B">
      <w:pPr>
        <w:pStyle w:val="Heading3"/>
      </w:pPr>
      <w:r>
        <w:t>disclose any Confidential Information to any person;</w:t>
      </w:r>
    </w:p>
    <w:p w:rsidR="00025445" w:rsidRDefault="006D4E7B">
      <w:pPr>
        <w:pStyle w:val="Heading3"/>
      </w:pPr>
      <w:r>
        <w:t>use any Confidential Information in any manner which may cause loss to the Company or the other parties; or</w:t>
      </w:r>
    </w:p>
    <w:p w:rsidR="00025445" w:rsidRDefault="006D4E7B">
      <w:pPr>
        <w:pStyle w:val="Heading3"/>
      </w:pPr>
      <w:r>
        <w:t>make any public</w:t>
      </w:r>
      <w:r>
        <w:t xml:space="preserve"> announcement or issue any press release regarding this agreement or a party’s involvement with the Company.</w:t>
      </w:r>
    </w:p>
    <w:p w:rsidR="00025445" w:rsidRDefault="006D4E7B">
      <w:pPr>
        <w:pStyle w:val="Heading2"/>
      </w:pPr>
      <w:bookmarkStart w:id="86" w:name="_Ref448880534"/>
      <w:bookmarkStart w:id="87" w:name="_Toc485213362"/>
      <w:r>
        <w:lastRenderedPageBreak/>
        <w:t>Permitted disclosure</w:t>
      </w:r>
      <w:bookmarkEnd w:id="86"/>
      <w:bookmarkEnd w:id="87"/>
    </w:p>
    <w:p w:rsidR="00025445" w:rsidRDefault="006D4E7B">
      <w:pPr>
        <w:pStyle w:val="Heading3"/>
      </w:pPr>
      <w:r>
        <w:t xml:space="preserve">A party may disclose, and may permit its Representatives to disclose, any Confidential Information (and the other restrictions in clause </w:t>
      </w:r>
      <w:r>
        <w:fldChar w:fldCharType="begin"/>
      </w:r>
      <w:r>
        <w:instrText xml:space="preserve"> REF _Ref448880195 \w \h </w:instrText>
      </w:r>
      <w:r>
        <w:fldChar w:fldCharType="separate"/>
      </w:r>
      <w:r>
        <w:t>14.1</w:t>
      </w:r>
      <w:r>
        <w:fldChar w:fldCharType="end"/>
      </w:r>
      <w:r>
        <w:t xml:space="preserve"> do not apply in such </w:t>
      </w:r>
      <w:r>
        <w:t>cases):</w:t>
      </w:r>
    </w:p>
    <w:p w:rsidR="00025445" w:rsidRDefault="006D4E7B">
      <w:pPr>
        <w:pStyle w:val="Heading4"/>
      </w:pPr>
      <w:r>
        <w:t>with the prior written consent of the party to whom the Confidential Information relates;</w:t>
      </w:r>
    </w:p>
    <w:p w:rsidR="00025445" w:rsidRDefault="006D4E7B">
      <w:pPr>
        <w:pStyle w:val="Heading4"/>
      </w:pPr>
      <w:r>
        <w:t>to the extent it is required to do so by Law; or</w:t>
      </w:r>
    </w:p>
    <w:p w:rsidR="00025445" w:rsidRDefault="006D4E7B">
      <w:pPr>
        <w:pStyle w:val="Heading4"/>
      </w:pPr>
      <w:r>
        <w:t>to a professional adviser in order for it to provide advice in relation to matters arising under or in connec</w:t>
      </w:r>
      <w:r>
        <w:t xml:space="preserve">tion with this agreement and provided that the party disclosing the Confidential Information ensures that the professional adviser complies with the terms of this clause. </w:t>
      </w:r>
    </w:p>
    <w:p w:rsidR="00025445" w:rsidRDefault="006D4E7B">
      <w:pPr>
        <w:pStyle w:val="Heading3"/>
      </w:pPr>
      <w:r>
        <w:t>Each holder of Seed Preference Shares may disclose, and may permit its Representativ</w:t>
      </w:r>
      <w:r>
        <w:t>es to disclose, any Confidential Information to its, and its Affiliate’s, directors, officers, employees, advisers, investors, members, limited partners and unitholders.</w:t>
      </w:r>
    </w:p>
    <w:p w:rsidR="00025445" w:rsidRDefault="006D4E7B">
      <w:pPr>
        <w:pStyle w:val="Heading1"/>
      </w:pPr>
      <w:bookmarkStart w:id="88" w:name="_Toc485213363"/>
      <w:r>
        <w:t>Dispute resolution</w:t>
      </w:r>
      <w:r>
        <w:rPr>
          <w:rStyle w:val="FootnoteReference"/>
        </w:rPr>
        <w:footnoteReference w:id="42"/>
      </w:r>
      <w:bookmarkEnd w:id="88"/>
    </w:p>
    <w:p w:rsidR="00025445" w:rsidRDefault="006D4E7B">
      <w:pPr>
        <w:pStyle w:val="Heading2"/>
      </w:pPr>
      <w:bookmarkStart w:id="89" w:name="_Toc485213364"/>
      <w:r>
        <w:t>Disputes</w:t>
      </w:r>
      <w:bookmarkEnd w:id="89"/>
    </w:p>
    <w:p w:rsidR="00025445" w:rsidRDefault="006D4E7B">
      <w:pPr>
        <w:pStyle w:val="bodytext2"/>
      </w:pPr>
      <w:r>
        <w:t>A party must not commence court proceedings or arbitratio</w:t>
      </w:r>
      <w:r>
        <w:t>n relating to any dispute arising from this agreement without first complying with this clause, except:</w:t>
      </w:r>
    </w:p>
    <w:p w:rsidR="00025445" w:rsidRDefault="006D4E7B">
      <w:pPr>
        <w:pStyle w:val="Heading3"/>
      </w:pPr>
      <w:r>
        <w:t>where a party seeks urgent interlocutory relief; or</w:t>
      </w:r>
    </w:p>
    <w:p w:rsidR="00025445" w:rsidRDefault="006D4E7B">
      <w:pPr>
        <w:pStyle w:val="Heading3"/>
      </w:pPr>
      <w:r>
        <w:t>where the dispute relates to compliance with this clause.</w:t>
      </w:r>
    </w:p>
    <w:p w:rsidR="00025445" w:rsidRDefault="006D4E7B">
      <w:pPr>
        <w:pStyle w:val="Heading2"/>
      </w:pPr>
      <w:bookmarkStart w:id="90" w:name="_Toc485213365"/>
      <w:r>
        <w:t>Notice of dispute</w:t>
      </w:r>
      <w:bookmarkEnd w:id="90"/>
    </w:p>
    <w:p w:rsidR="00025445" w:rsidRDefault="006D4E7B">
      <w:pPr>
        <w:pStyle w:val="Heading3"/>
      </w:pPr>
      <w:r>
        <w:t xml:space="preserve">A party claiming that a </w:t>
      </w:r>
      <w:r>
        <w:t xml:space="preserve">dispute has arisen under this agreement must give written notice of the details of the dispute to the other party or parties in dispute. </w:t>
      </w:r>
    </w:p>
    <w:p w:rsidR="00025445" w:rsidRDefault="006D4E7B">
      <w:pPr>
        <w:pStyle w:val="Heading3"/>
      </w:pPr>
      <w:r>
        <w:t>Each party that has given or received notice of the dispute under this clause must promptly:</w:t>
      </w:r>
    </w:p>
    <w:p w:rsidR="00025445" w:rsidRDefault="006D4E7B">
      <w:pPr>
        <w:pStyle w:val="Heading4"/>
      </w:pPr>
      <w:r>
        <w:t>designate as its represen</w:t>
      </w:r>
      <w:r>
        <w:t>tative in negotiations relating to the dispute a person with authority to settle the dispute; and</w:t>
      </w:r>
    </w:p>
    <w:p w:rsidR="00025445" w:rsidRDefault="006D4E7B">
      <w:pPr>
        <w:pStyle w:val="Heading4"/>
      </w:pPr>
      <w:r>
        <w:t>use its best endeavours to resolve the dispute.</w:t>
      </w:r>
    </w:p>
    <w:p w:rsidR="00025445" w:rsidRDefault="006D4E7B">
      <w:pPr>
        <w:pStyle w:val="Heading2"/>
      </w:pPr>
      <w:bookmarkStart w:id="91" w:name="_Toc485213366"/>
      <w:r>
        <w:lastRenderedPageBreak/>
        <w:t>Resolution</w:t>
      </w:r>
      <w:r>
        <w:rPr>
          <w:rStyle w:val="FootnoteReference"/>
        </w:rPr>
        <w:footnoteReference w:id="43"/>
      </w:r>
      <w:bookmarkEnd w:id="91"/>
    </w:p>
    <w:p w:rsidR="00025445" w:rsidRDefault="006D4E7B">
      <w:pPr>
        <w:pStyle w:val="bodytext2"/>
      </w:pPr>
      <w:r>
        <w:t xml:space="preserve">If within 20 Business Days of receipt of notice the parties to the dispute do not either, resolve </w:t>
      </w:r>
      <w:r>
        <w:t xml:space="preserve">the dispute, or agree as to: </w:t>
      </w:r>
    </w:p>
    <w:p w:rsidR="00025445" w:rsidRDefault="006D4E7B">
      <w:pPr>
        <w:pStyle w:val="Heading3"/>
      </w:pPr>
      <w:r>
        <w:t xml:space="preserve">a dispute resolution technique (for example, expert determination) and procedures to be adopted; </w:t>
      </w:r>
    </w:p>
    <w:p w:rsidR="00025445" w:rsidRDefault="006D4E7B">
      <w:pPr>
        <w:pStyle w:val="Heading3"/>
      </w:pPr>
      <w:r>
        <w:t xml:space="preserve">the timetable for all steps in those procedures; and </w:t>
      </w:r>
    </w:p>
    <w:p w:rsidR="00025445" w:rsidRDefault="006D4E7B">
      <w:pPr>
        <w:pStyle w:val="Heading3"/>
      </w:pPr>
      <w:r>
        <w:t>the selection and compensation of the independent person required for such</w:t>
      </w:r>
      <w:r>
        <w:t xml:space="preserve"> technique, </w:t>
      </w:r>
    </w:p>
    <w:p w:rsidR="00025445" w:rsidRDefault="006D4E7B">
      <w:pPr>
        <w:pStyle w:val="bodytext2"/>
      </w:pPr>
      <w:r>
        <w:t>the parties must mediate the dispute in accordance with the mediation rules of the Law Society of New South Wales and the parties must request the President of the Law Society of New South Wales or the President’s nominee to select the mediato</w:t>
      </w:r>
      <w:r>
        <w:t>r and determine the mediator’s remuneration.</w:t>
      </w:r>
    </w:p>
    <w:p w:rsidR="00025445" w:rsidRDefault="006D4E7B">
      <w:pPr>
        <w:pStyle w:val="Heading1"/>
      </w:pPr>
      <w:bookmarkStart w:id="92" w:name="_Ref448880575"/>
      <w:bookmarkStart w:id="93" w:name="_Toc485213367"/>
      <w:r>
        <w:t>Termination</w:t>
      </w:r>
      <w:bookmarkEnd w:id="92"/>
      <w:bookmarkEnd w:id="93"/>
      <w:r>
        <w:t xml:space="preserve"> </w:t>
      </w:r>
    </w:p>
    <w:p w:rsidR="00025445" w:rsidRDefault="006D4E7B">
      <w:pPr>
        <w:pStyle w:val="Heading2"/>
      </w:pPr>
      <w:bookmarkStart w:id="94" w:name="_Ref448880562"/>
      <w:bookmarkStart w:id="95" w:name="_Toc485213368"/>
      <w:r>
        <w:t>Termination events</w:t>
      </w:r>
      <w:bookmarkEnd w:id="94"/>
      <w:bookmarkEnd w:id="95"/>
    </w:p>
    <w:p w:rsidR="00025445" w:rsidRDefault="006D4E7B">
      <w:pPr>
        <w:pStyle w:val="bodytext2"/>
      </w:pPr>
      <w:r>
        <w:t>This agreement will be terminated:</w:t>
      </w:r>
    </w:p>
    <w:p w:rsidR="00025445" w:rsidRDefault="006D4E7B">
      <w:pPr>
        <w:pStyle w:val="Heading3"/>
      </w:pPr>
      <w:r>
        <w:t>by mutual agreement in writing of all Shareholders;</w:t>
      </w:r>
    </w:p>
    <w:p w:rsidR="00025445" w:rsidRDefault="006D4E7B">
      <w:pPr>
        <w:pStyle w:val="Heading3"/>
      </w:pPr>
      <w:r>
        <w:t>for any Shareholder, when it ceases to hold any Securities;</w:t>
      </w:r>
    </w:p>
    <w:p w:rsidR="00025445" w:rsidRDefault="006D4E7B">
      <w:pPr>
        <w:pStyle w:val="Heading3"/>
      </w:pPr>
      <w:r>
        <w:t>the date on which one Shareholde</w:t>
      </w:r>
      <w:r>
        <w:t>r holds all of the Securities;</w:t>
      </w:r>
    </w:p>
    <w:p w:rsidR="00025445" w:rsidRDefault="006D4E7B">
      <w:pPr>
        <w:pStyle w:val="Heading3"/>
      </w:pPr>
      <w:r>
        <w:t>for a particular Group Company, when it is wound up by an order of a Court;</w:t>
      </w:r>
    </w:p>
    <w:p w:rsidR="00025445" w:rsidRDefault="006D4E7B">
      <w:pPr>
        <w:pStyle w:val="Heading3"/>
      </w:pPr>
      <w:r>
        <w:t>the date on which the Company is voluntarily wound up; and</w:t>
      </w:r>
    </w:p>
    <w:p w:rsidR="00025445" w:rsidRDefault="006D4E7B">
      <w:pPr>
        <w:pStyle w:val="Heading3"/>
      </w:pPr>
      <w:r>
        <w:t xml:space="preserve">the date on which shares in an IPO of the Company or Related Body Corporate are allotted </w:t>
      </w:r>
      <w:r>
        <w:t>or transferred.</w:t>
      </w:r>
    </w:p>
    <w:p w:rsidR="00025445" w:rsidRDefault="006D4E7B">
      <w:pPr>
        <w:pStyle w:val="Heading2"/>
      </w:pPr>
      <w:bookmarkStart w:id="96" w:name="_Toc485213369"/>
      <w:r>
        <w:t>Accrued rights</w:t>
      </w:r>
      <w:bookmarkEnd w:id="96"/>
    </w:p>
    <w:p w:rsidR="00025445" w:rsidRDefault="006D4E7B">
      <w:pPr>
        <w:pStyle w:val="Heading3"/>
      </w:pPr>
      <w:r>
        <w:t xml:space="preserve">Termination of this agreement under clause </w:t>
      </w:r>
      <w:r>
        <w:fldChar w:fldCharType="begin"/>
      </w:r>
      <w:r>
        <w:instrText xml:space="preserve"> REF _Ref448880562 \w \h </w:instrText>
      </w:r>
      <w:r>
        <w:fldChar w:fldCharType="separate"/>
      </w:r>
      <w:r>
        <w:t>16.1</w:t>
      </w:r>
      <w:r>
        <w:fldChar w:fldCharType="end"/>
      </w:r>
      <w:r>
        <w:t xml:space="preserve"> is without prejudice to any accrued rights of the Shareholders.</w:t>
      </w:r>
    </w:p>
    <w:p w:rsidR="00025445" w:rsidRDefault="006D4E7B">
      <w:pPr>
        <w:pStyle w:val="Heading3"/>
      </w:pPr>
      <w:r>
        <w:t xml:space="preserve">Each Shareholder agrees that after termination of this agreement the obligations under clauses </w:t>
      </w:r>
      <w:r>
        <w:fldChar w:fldCharType="begin"/>
      </w:r>
      <w:r>
        <w:instrText xml:space="preserve"> REF _Ref448880399 \w \h </w:instrText>
      </w:r>
      <w:r>
        <w:fldChar w:fldCharType="separate"/>
      </w:r>
      <w:r>
        <w:t>13</w:t>
      </w:r>
      <w:r>
        <w:fldChar w:fldCharType="end"/>
      </w:r>
      <w:r>
        <w:t xml:space="preserve"> (non-competition), </w:t>
      </w:r>
      <w:r>
        <w:fldChar w:fldCharType="begin"/>
      </w:r>
      <w:r>
        <w:instrText xml:space="preserve"> REF _Ref448880601 \w \h </w:instrText>
      </w:r>
      <w:r>
        <w:fldChar w:fldCharType="separate"/>
      </w:r>
      <w:r>
        <w:t>14</w:t>
      </w:r>
      <w:r>
        <w:fldChar w:fldCharType="end"/>
      </w:r>
      <w:r>
        <w:t xml:space="preserve"> (confidentiality), </w:t>
      </w:r>
      <w:r>
        <w:fldChar w:fldCharType="begin"/>
      </w:r>
      <w:r>
        <w:instrText xml:space="preserve"> REF _Ref448880575 \w \h </w:instrText>
      </w:r>
      <w:r>
        <w:fldChar w:fldCharType="separate"/>
      </w:r>
      <w:r>
        <w:t>16</w:t>
      </w:r>
      <w:r>
        <w:fldChar w:fldCharType="end"/>
      </w:r>
      <w:r>
        <w:t xml:space="preserve"> (termination), </w:t>
      </w:r>
      <w:r>
        <w:fldChar w:fldCharType="begin"/>
      </w:r>
      <w:r>
        <w:instrText xml:space="preserve"> REF _Ref448880585 \w \h </w:instrText>
      </w:r>
      <w:r>
        <w:fldChar w:fldCharType="separate"/>
      </w:r>
      <w:r>
        <w:t>17</w:t>
      </w:r>
      <w:r>
        <w:fldChar w:fldCharType="end"/>
      </w:r>
      <w:r>
        <w:t xml:space="preserve"> (Goods and Services Tax) and </w:t>
      </w:r>
      <w:r>
        <w:fldChar w:fldCharType="begin"/>
      </w:r>
      <w:r>
        <w:instrText xml:space="preserve"> REF _Ref448880591 \w \h </w:instrText>
      </w:r>
      <w:r>
        <w:fldChar w:fldCharType="separate"/>
      </w:r>
      <w:r>
        <w:t>19</w:t>
      </w:r>
      <w:r>
        <w:fldChar w:fldCharType="end"/>
      </w:r>
      <w:r>
        <w:t xml:space="preserve"> (general) continue in force.</w:t>
      </w:r>
    </w:p>
    <w:p w:rsidR="00025445" w:rsidRDefault="006D4E7B">
      <w:pPr>
        <w:pStyle w:val="Heading1"/>
      </w:pPr>
      <w:bookmarkStart w:id="97" w:name="_Ref448880585"/>
      <w:bookmarkStart w:id="98" w:name="_Toc485213370"/>
      <w:r>
        <w:lastRenderedPageBreak/>
        <w:t>Goods and Services Tax</w:t>
      </w:r>
      <w:bookmarkEnd w:id="97"/>
      <w:bookmarkEnd w:id="98"/>
    </w:p>
    <w:p w:rsidR="00025445" w:rsidRDefault="006D4E7B">
      <w:pPr>
        <w:pStyle w:val="Heading2"/>
      </w:pPr>
      <w:bookmarkStart w:id="99" w:name="_Toc485213371"/>
      <w:r>
        <w:t>Definitions</w:t>
      </w:r>
      <w:bookmarkEnd w:id="99"/>
    </w:p>
    <w:p w:rsidR="00025445" w:rsidRDefault="006D4E7B">
      <w:pPr>
        <w:pStyle w:val="bodytext2"/>
      </w:pPr>
      <w:r>
        <w:t>In this clause:</w:t>
      </w:r>
    </w:p>
    <w:p w:rsidR="00025445" w:rsidRDefault="006D4E7B">
      <w:pPr>
        <w:pStyle w:val="Heading3"/>
      </w:pPr>
      <w:r>
        <w:rPr>
          <w:b/>
        </w:rPr>
        <w:t>GST</w:t>
      </w:r>
      <w:r>
        <w:t xml:space="preserve"> means "GST" as defined </w:t>
      </w:r>
      <w:r>
        <w:rPr>
          <w:i/>
        </w:rPr>
        <w:t>in A New</w:t>
      </w:r>
      <w:r>
        <w:rPr>
          <w:i/>
        </w:rPr>
        <w:t xml:space="preserve"> Tax System (Goods and Services Tax)</w:t>
      </w:r>
      <w:r>
        <w:t xml:space="preserve"> </w:t>
      </w:r>
      <w:r>
        <w:rPr>
          <w:i/>
        </w:rPr>
        <w:t>Act 1999</w:t>
      </w:r>
      <w:r>
        <w:t xml:space="preserve"> as amended (</w:t>
      </w:r>
      <w:r>
        <w:rPr>
          <w:b/>
        </w:rPr>
        <w:t>GST Act</w:t>
      </w:r>
      <w:r>
        <w:t>) or any replacement or other relevant legislation and regulations;</w:t>
      </w:r>
    </w:p>
    <w:p w:rsidR="00025445" w:rsidRDefault="006D4E7B">
      <w:pPr>
        <w:pStyle w:val="Heading3"/>
      </w:pPr>
      <w:r>
        <w:t>words used in this clause which have a particular meaning in the GST law (as defined in the GST Act, and also including any</w:t>
      </w:r>
      <w:r>
        <w:t xml:space="preserve"> applicable legislative determinations and Australian Taxation Office public rulings) have the same meaning, unless the context otherwise requires;</w:t>
      </w:r>
    </w:p>
    <w:p w:rsidR="00025445" w:rsidRDefault="006D4E7B">
      <w:pPr>
        <w:pStyle w:val="Heading3"/>
      </w:pPr>
      <w:r>
        <w:t xml:space="preserve">any reference to GST payable by a party includes any corresponding GST payable by the representative member </w:t>
      </w:r>
      <w:r>
        <w:t>of any GST group of which that party is a member; and</w:t>
      </w:r>
    </w:p>
    <w:p w:rsidR="00025445" w:rsidRDefault="006D4E7B">
      <w:pPr>
        <w:pStyle w:val="Heading3"/>
      </w:pPr>
      <w:r>
        <w:t>if the GST law treats part of a supply as a separate supply for the purpose of determining whether GST is payable on that part of the supply or for the purpose of determining the tax period to which tha</w:t>
      </w:r>
      <w:r>
        <w:t>t part of the supply is attributable, such part of the supply is to be treated as a separate supply.</w:t>
      </w:r>
    </w:p>
    <w:p w:rsidR="00025445" w:rsidRDefault="006D4E7B">
      <w:pPr>
        <w:pStyle w:val="Heading2"/>
      </w:pPr>
      <w:bookmarkStart w:id="100" w:name="_Toc485213372"/>
      <w:r>
        <w:t>General exclusion of GST</w:t>
      </w:r>
      <w:bookmarkEnd w:id="100"/>
    </w:p>
    <w:p w:rsidR="00025445" w:rsidRDefault="006D4E7B">
      <w:pPr>
        <w:pStyle w:val="bodytext2"/>
      </w:pPr>
      <w:r>
        <w:t>Unless GST is expressly included, the consideration expressed to be payable under any other clause of this agreement for any suppl</w:t>
      </w:r>
      <w:r>
        <w:t>y made under or in connection with this agreement does not include GST.</w:t>
      </w:r>
    </w:p>
    <w:p w:rsidR="00025445" w:rsidRDefault="006D4E7B">
      <w:pPr>
        <w:pStyle w:val="Heading2"/>
      </w:pPr>
      <w:bookmarkStart w:id="101" w:name="_Ref448880615"/>
      <w:bookmarkStart w:id="102" w:name="_Toc485213373"/>
      <w:r>
        <w:t>Gross-up of Taxable Supply</w:t>
      </w:r>
      <w:bookmarkEnd w:id="101"/>
      <w:bookmarkEnd w:id="102"/>
    </w:p>
    <w:p w:rsidR="00025445" w:rsidRDefault="006D4E7B">
      <w:pPr>
        <w:pStyle w:val="bodytext2"/>
      </w:pPr>
      <w:r>
        <w:t>To the extent that any supply made under or in connection with this agreement is a taxable supply, the GST exclusive consideration otherwise payable for that</w:t>
      </w:r>
      <w:r>
        <w:t xml:space="preserve"> supply is increased by an amount equal to that consideration multiplied by the rate at which GST is imposed in respect of the supply, and is payable at the same time.</w:t>
      </w:r>
    </w:p>
    <w:p w:rsidR="00025445" w:rsidRDefault="006D4E7B">
      <w:pPr>
        <w:pStyle w:val="Heading2"/>
      </w:pPr>
      <w:bookmarkStart w:id="103" w:name="_Toc485213374"/>
      <w:r>
        <w:t>Further acts</w:t>
      </w:r>
      <w:bookmarkEnd w:id="103"/>
    </w:p>
    <w:p w:rsidR="00025445" w:rsidRDefault="006D4E7B">
      <w:pPr>
        <w:pStyle w:val="bodytext2"/>
      </w:pPr>
      <w:r>
        <w:t>Each party agrees to do all things, including providing tax invoices and ot</w:t>
      </w:r>
      <w:r>
        <w:t>her documentation, that may be necessary or desirable to enable or assist the other party to claim any input tax credit, adjustment or refund in relation to any amount of GST paid or payable in respect of any supply made under or in connection with this ag</w:t>
      </w:r>
      <w:r>
        <w:t>reement.</w:t>
      </w:r>
    </w:p>
    <w:p w:rsidR="00025445" w:rsidRDefault="006D4E7B">
      <w:pPr>
        <w:pStyle w:val="Heading2"/>
      </w:pPr>
      <w:bookmarkStart w:id="104" w:name="_Toc485213375"/>
      <w:r>
        <w:t>Reimbursement and indemnity</w:t>
      </w:r>
      <w:bookmarkEnd w:id="104"/>
    </w:p>
    <w:p w:rsidR="00025445" w:rsidRDefault="006D4E7B">
      <w:pPr>
        <w:pStyle w:val="bodytext2"/>
      </w:pPr>
      <w:r>
        <w:t>If a payment to a party under this agreement is a payment by way of reimbursement or indemnity and is calculated by reference to the GST inclusive amount of a loss, cost or expense incurred by that party, then the payme</w:t>
      </w:r>
      <w:r>
        <w:t xml:space="preserve">nt is to be reduced by the amount of any input tax credit to which that party is entitled in respect of that loss, cost or expense before any adjustment is made for GST pursuant to clause </w:t>
      </w:r>
      <w:r>
        <w:fldChar w:fldCharType="begin"/>
      </w:r>
      <w:r>
        <w:instrText xml:space="preserve"> REF _Ref448880615 \w \h </w:instrText>
      </w:r>
      <w:r>
        <w:fldChar w:fldCharType="separate"/>
      </w:r>
      <w:r>
        <w:t>17.3</w:t>
      </w:r>
      <w:r>
        <w:fldChar w:fldCharType="end"/>
      </w:r>
      <w:r>
        <w:t>.</w:t>
      </w:r>
    </w:p>
    <w:p w:rsidR="00025445" w:rsidRDefault="006D4E7B">
      <w:pPr>
        <w:pStyle w:val="Heading1"/>
      </w:pPr>
      <w:bookmarkStart w:id="105" w:name="_Toc485213376"/>
      <w:r>
        <w:lastRenderedPageBreak/>
        <w:t>Costs and expenses</w:t>
      </w:r>
      <w:bookmarkEnd w:id="105"/>
    </w:p>
    <w:p w:rsidR="00025445" w:rsidRDefault="006D4E7B">
      <w:pPr>
        <w:pStyle w:val="Heading2"/>
      </w:pPr>
      <w:bookmarkStart w:id="106" w:name="_Toc485213377"/>
      <w:r>
        <w:t>Stamp duty</w:t>
      </w:r>
      <w:bookmarkEnd w:id="106"/>
    </w:p>
    <w:p w:rsidR="00025445" w:rsidRDefault="006D4E7B">
      <w:pPr>
        <w:pStyle w:val="bodytext2"/>
      </w:pPr>
      <w:r>
        <w:t>The Company must pay all stamp duty on this agreement and any instrument or document executed under this agreement.</w:t>
      </w:r>
    </w:p>
    <w:p w:rsidR="00025445" w:rsidRDefault="006D4E7B">
      <w:pPr>
        <w:pStyle w:val="Heading2"/>
      </w:pPr>
      <w:bookmarkStart w:id="107" w:name="_Toc485213378"/>
      <w:r>
        <w:t>Transaction costs</w:t>
      </w:r>
      <w:bookmarkEnd w:id="107"/>
    </w:p>
    <w:p w:rsidR="00025445" w:rsidRDefault="006D4E7B">
      <w:pPr>
        <w:pStyle w:val="bodytext2"/>
      </w:pPr>
      <w:r>
        <w:t>Except as agreed between the parties, each party must bear its</w:t>
      </w:r>
      <w:r>
        <w:t xml:space="preserve"> own legal and other costs and expenses of and incidental to the preparation and execution of this agreement.</w:t>
      </w:r>
    </w:p>
    <w:p w:rsidR="00025445" w:rsidRDefault="006D4E7B">
      <w:pPr>
        <w:pStyle w:val="Heading1"/>
      </w:pPr>
      <w:bookmarkStart w:id="108" w:name="_Ref448880591"/>
      <w:bookmarkStart w:id="109" w:name="_Toc485213379"/>
      <w:r>
        <w:t>General</w:t>
      </w:r>
      <w:bookmarkEnd w:id="108"/>
      <w:bookmarkEnd w:id="109"/>
    </w:p>
    <w:p w:rsidR="00025445" w:rsidRDefault="006D4E7B">
      <w:pPr>
        <w:pStyle w:val="Heading2"/>
      </w:pPr>
      <w:bookmarkStart w:id="110" w:name="_Toc485213380"/>
      <w:r>
        <w:t>Notices</w:t>
      </w:r>
      <w:bookmarkEnd w:id="110"/>
    </w:p>
    <w:p w:rsidR="00025445" w:rsidRDefault="006D4E7B">
      <w:pPr>
        <w:pStyle w:val="bodytext2"/>
      </w:pPr>
      <w:r>
        <w:t>Any notice given under or in connection with this agreement (</w:t>
      </w:r>
      <w:r>
        <w:rPr>
          <w:b/>
        </w:rPr>
        <w:t>Notice</w:t>
      </w:r>
      <w:r>
        <w:t>):</w:t>
      </w:r>
    </w:p>
    <w:p w:rsidR="00025445" w:rsidRDefault="006D4E7B">
      <w:pPr>
        <w:pStyle w:val="Heading3"/>
      </w:pPr>
      <w:r>
        <w:t>must be in writing and signed by a person duly authorised by</w:t>
      </w:r>
      <w:r>
        <w:t xml:space="preserve"> the sender;</w:t>
      </w:r>
    </w:p>
    <w:p w:rsidR="00025445" w:rsidRDefault="006D4E7B">
      <w:pPr>
        <w:pStyle w:val="Heading3"/>
      </w:pPr>
      <w:r>
        <w:t>must be addressed and delivered to the intended recipient by hand, by prepaid post, by fax or by email at the address, fax number or email address last notified by the intended recipient to the sender; and</w:t>
      </w:r>
    </w:p>
    <w:p w:rsidR="00025445" w:rsidRDefault="006D4E7B">
      <w:pPr>
        <w:pStyle w:val="Heading3"/>
      </w:pPr>
      <w:r>
        <w:t>is taken to be given and made:</w:t>
      </w:r>
    </w:p>
    <w:p w:rsidR="00025445" w:rsidRDefault="006D4E7B">
      <w:pPr>
        <w:pStyle w:val="Heading4"/>
      </w:pPr>
      <w:r>
        <w:t xml:space="preserve">in the case of hand delivery, when delivered; </w:t>
      </w:r>
    </w:p>
    <w:p w:rsidR="00025445" w:rsidRDefault="006D4E7B">
      <w:pPr>
        <w:pStyle w:val="Heading4"/>
      </w:pPr>
      <w:r>
        <w:t>in the case of delivery by post, three Business Days after the date of posting (if posted to an address in the same country) or seven Business Days after the date of posting (if posted to an address in another</w:t>
      </w:r>
      <w:r>
        <w:t xml:space="preserve"> country); </w:t>
      </w:r>
    </w:p>
    <w:p w:rsidR="00025445" w:rsidRDefault="006D4E7B">
      <w:pPr>
        <w:pStyle w:val="Heading4"/>
      </w:pPr>
      <w:r>
        <w:t>in the case of a fax, on the day and at the time it is sent, provided that the sender’s facsimile machine issues a report confirming the transmission of the number of pages in the Notice; and</w:t>
      </w:r>
    </w:p>
    <w:p w:rsidR="00025445" w:rsidRDefault="006D4E7B">
      <w:pPr>
        <w:pStyle w:val="Heading4"/>
      </w:pPr>
      <w:r>
        <w:t xml:space="preserve">in the case of an email, on the day and at the time </w:t>
      </w:r>
      <w:r>
        <w:t>that the recipient confirms the email is received.</w:t>
      </w:r>
    </w:p>
    <w:p w:rsidR="00025445" w:rsidRDefault="006D4E7B">
      <w:pPr>
        <w:pStyle w:val="bodytext2"/>
      </w:pPr>
      <w:r>
        <w:t>This clause does not limit the way in which a notice can be deemed to be served under any Law.</w:t>
      </w:r>
    </w:p>
    <w:p w:rsidR="00025445" w:rsidRDefault="006D4E7B">
      <w:pPr>
        <w:pStyle w:val="Heading2"/>
      </w:pPr>
      <w:bookmarkStart w:id="111" w:name="_Toc485213381"/>
      <w:r>
        <w:t>Governing law and jurisdiction</w:t>
      </w:r>
      <w:bookmarkEnd w:id="111"/>
    </w:p>
    <w:p w:rsidR="00025445" w:rsidRDefault="006D4E7B">
      <w:pPr>
        <w:pStyle w:val="Heading3"/>
      </w:pPr>
      <w:r>
        <w:t>The laws applicable in [</w:t>
      </w:r>
      <w:r>
        <w:rPr>
          <w:highlight w:val="yellow"/>
        </w:rPr>
        <w:t>insert</w:t>
      </w:r>
      <w:r>
        <w:t>] govern this agreement.</w:t>
      </w:r>
    </w:p>
    <w:p w:rsidR="00025445" w:rsidRDefault="006D4E7B">
      <w:pPr>
        <w:pStyle w:val="Heading3"/>
      </w:pPr>
      <w:r>
        <w:t>The parties submit to th</w:t>
      </w:r>
      <w:r>
        <w:t>e non-exclusive jurisdiction of the courts of [</w:t>
      </w:r>
      <w:r>
        <w:rPr>
          <w:highlight w:val="yellow"/>
        </w:rPr>
        <w:t>insert</w:t>
      </w:r>
      <w:r>
        <w:t>] and any courts competent to hear appeals from those courts.</w:t>
      </w:r>
    </w:p>
    <w:p w:rsidR="00025445" w:rsidRDefault="006D4E7B">
      <w:pPr>
        <w:pStyle w:val="Heading2"/>
      </w:pPr>
      <w:bookmarkStart w:id="112" w:name="_Toc485213382"/>
      <w:r>
        <w:lastRenderedPageBreak/>
        <w:t>Invalidity</w:t>
      </w:r>
      <w:bookmarkEnd w:id="112"/>
    </w:p>
    <w:p w:rsidR="00025445" w:rsidRDefault="006D4E7B">
      <w:pPr>
        <w:pStyle w:val="Heading3"/>
        <w:keepNext/>
        <w:ind w:left="1354" w:hanging="677"/>
      </w:pPr>
      <w:bookmarkStart w:id="113" w:name="_Ref448880629"/>
      <w:r>
        <w:t>A word or provision must be read down if:</w:t>
      </w:r>
      <w:bookmarkEnd w:id="113"/>
    </w:p>
    <w:p w:rsidR="00025445" w:rsidRDefault="006D4E7B">
      <w:pPr>
        <w:pStyle w:val="Heading4"/>
      </w:pPr>
      <w:r>
        <w:t xml:space="preserve">this agreement is void, voidable, or unenforceable if it is not read down; </w:t>
      </w:r>
    </w:p>
    <w:p w:rsidR="00025445" w:rsidRDefault="006D4E7B">
      <w:pPr>
        <w:pStyle w:val="Heading4"/>
      </w:pPr>
      <w:r>
        <w:t>this agreeme</w:t>
      </w:r>
      <w:r>
        <w:t>nt will not be void, voidable or unenforceable if it is read down; and</w:t>
      </w:r>
    </w:p>
    <w:p w:rsidR="00025445" w:rsidRDefault="006D4E7B">
      <w:pPr>
        <w:pStyle w:val="Heading4"/>
      </w:pPr>
      <w:r>
        <w:t>the provision is capable of being read down.</w:t>
      </w:r>
    </w:p>
    <w:p w:rsidR="00025445" w:rsidRDefault="006D4E7B">
      <w:pPr>
        <w:pStyle w:val="Heading3"/>
        <w:keepNext/>
        <w:ind w:left="1354" w:hanging="677"/>
      </w:pPr>
      <w:r>
        <w:t>A word or provision must be severed if:</w:t>
      </w:r>
    </w:p>
    <w:p w:rsidR="00025445" w:rsidRDefault="006D4E7B">
      <w:pPr>
        <w:pStyle w:val="Heading4"/>
      </w:pPr>
      <w:bookmarkStart w:id="114" w:name="_Ref448880642"/>
      <w:r>
        <w:t xml:space="preserve">despite the operation of clause </w:t>
      </w:r>
      <w:r>
        <w:fldChar w:fldCharType="begin"/>
      </w:r>
      <w:r>
        <w:instrText xml:space="preserve"> REF _Ref448880629 \w \h </w:instrText>
      </w:r>
      <w:r>
        <w:fldChar w:fldCharType="separate"/>
      </w:r>
      <w:r>
        <w:t>19.3(a)</w:t>
      </w:r>
      <w:r>
        <w:fldChar w:fldCharType="end"/>
      </w:r>
      <w:r>
        <w:t>, the provision is void, voidable or unenforceable if it is not severed; and</w:t>
      </w:r>
      <w:bookmarkEnd w:id="114"/>
    </w:p>
    <w:p w:rsidR="00025445" w:rsidRDefault="006D4E7B">
      <w:pPr>
        <w:pStyle w:val="Heading4"/>
      </w:pPr>
      <w:r>
        <w:t>this agreement will be void, voidable or unenforceable if it is not severed.</w:t>
      </w:r>
    </w:p>
    <w:p w:rsidR="00025445" w:rsidRDefault="006D4E7B">
      <w:pPr>
        <w:pStyle w:val="Heading3"/>
      </w:pPr>
      <w:r>
        <w:t xml:space="preserve">The remainder of this agreement has full effect even if clause </w:t>
      </w:r>
      <w:r>
        <w:fldChar w:fldCharType="begin"/>
      </w:r>
      <w:r>
        <w:instrText xml:space="preserve"> REF _R</w:instrText>
      </w:r>
      <w:r>
        <w:instrText xml:space="preserve">ef448880642 \w \h </w:instrText>
      </w:r>
      <w:r>
        <w:fldChar w:fldCharType="separate"/>
      </w:r>
      <w:r>
        <w:t>19.3(b)(i)</w:t>
      </w:r>
      <w:r>
        <w:fldChar w:fldCharType="end"/>
      </w:r>
      <w:r>
        <w:t xml:space="preserve"> or 19.3(b)(ii) applies.</w:t>
      </w:r>
    </w:p>
    <w:p w:rsidR="00025445" w:rsidRDefault="006D4E7B">
      <w:pPr>
        <w:pStyle w:val="Heading2"/>
      </w:pPr>
      <w:bookmarkStart w:id="115" w:name="_Toc485213383"/>
      <w:r>
        <w:t>Agreement and Constitution</w:t>
      </w:r>
      <w:bookmarkEnd w:id="115"/>
    </w:p>
    <w:p w:rsidR="00025445" w:rsidRDefault="006D4E7B">
      <w:pPr>
        <w:pStyle w:val="Heading3"/>
      </w:pPr>
      <w:r>
        <w:t>If there is an inconsistency between this agreement and the Constitution, the provisions of this agreement p</w:t>
      </w:r>
      <w:r>
        <w:t>revail. An inconsistency will be considered to exist if, regardless of the purpose of the provision, the relevant subject matter or action to be taken (including the issue or Disposal of Securities) is dealt with differently in both the Constitution and th</w:t>
      </w:r>
      <w:r>
        <w:t>is agreement.</w:t>
      </w:r>
    </w:p>
    <w:p w:rsidR="00025445" w:rsidRDefault="006D4E7B">
      <w:pPr>
        <w:pStyle w:val="Heading3"/>
      </w:pPr>
      <w:r>
        <w:t>If necessary, the Shareholders must procure that the Constitution (and the constitution of each Subsidiary) is amended as soon as is practicable to ensure that a provision of this agreement is effective in accordance with its terms.</w:t>
      </w:r>
    </w:p>
    <w:p w:rsidR="00025445" w:rsidRDefault="006D4E7B">
      <w:pPr>
        <w:pStyle w:val="Heading3"/>
      </w:pPr>
      <w:r>
        <w:t>To the ma</w:t>
      </w:r>
      <w:r>
        <w:t xml:space="preserve">ximum extent permitted by Law, the parties agree to waive any provisions contained in the Constitution to the extent that those provisions are inconsistent with the provisions in this agreement, so that they have no force or effect during the term of this </w:t>
      </w:r>
      <w:r>
        <w:t>agreement.</w:t>
      </w:r>
    </w:p>
    <w:p w:rsidR="00025445" w:rsidRDefault="006D4E7B">
      <w:pPr>
        <w:pStyle w:val="Heading2"/>
      </w:pPr>
      <w:bookmarkStart w:id="116" w:name="_Toc485213384"/>
      <w:r>
        <w:t>Cumulative Rights</w:t>
      </w:r>
      <w:bookmarkEnd w:id="116"/>
    </w:p>
    <w:p w:rsidR="00025445" w:rsidRDefault="006D4E7B">
      <w:pPr>
        <w:pStyle w:val="bodytext2"/>
      </w:pPr>
      <w:r>
        <w:t>The rights and remedies in this agreement are in addition to other rights and remedies given by Law independently of this agreement.</w:t>
      </w:r>
    </w:p>
    <w:p w:rsidR="00025445" w:rsidRDefault="006D4E7B">
      <w:pPr>
        <w:pStyle w:val="Heading2"/>
      </w:pPr>
      <w:bookmarkStart w:id="117" w:name="_Toc485213385"/>
      <w:r>
        <w:t>Entire agreement</w:t>
      </w:r>
      <w:bookmarkEnd w:id="117"/>
    </w:p>
    <w:p w:rsidR="00025445" w:rsidRDefault="006D4E7B">
      <w:pPr>
        <w:pStyle w:val="bodytext2"/>
      </w:pPr>
      <w:r>
        <w:t xml:space="preserve">This agreement constitutes the entire agreement between the parties and </w:t>
      </w:r>
      <w:r>
        <w:t>supersedes any prior negotiations, representations, understandings or arrangements made between the parties regarding the subject matter of this agreement, whether orally or in writing.</w:t>
      </w:r>
    </w:p>
    <w:p w:rsidR="00025445" w:rsidRDefault="006D4E7B">
      <w:pPr>
        <w:pStyle w:val="Heading2"/>
      </w:pPr>
      <w:bookmarkStart w:id="118" w:name="_Toc485213386"/>
      <w:r>
        <w:lastRenderedPageBreak/>
        <w:t>Counterparts</w:t>
      </w:r>
      <w:bookmarkEnd w:id="118"/>
    </w:p>
    <w:p w:rsidR="00025445" w:rsidRDefault="006D4E7B">
      <w:pPr>
        <w:pStyle w:val="bodytext2"/>
      </w:pPr>
      <w:r>
        <w:t>This agreement may be executed in any number of counterpa</w:t>
      </w:r>
      <w:r>
        <w:t>rts. All counterparts taken together constitute one instrument.</w:t>
      </w:r>
    </w:p>
    <w:p w:rsidR="00025445" w:rsidRDefault="006D4E7B">
      <w:pPr>
        <w:pStyle w:val="Heading2"/>
      </w:pPr>
      <w:bookmarkStart w:id="119" w:name="_Toc485213387"/>
      <w:r>
        <w:t>Relationship between parties</w:t>
      </w:r>
      <w:bookmarkEnd w:id="119"/>
    </w:p>
    <w:p w:rsidR="00025445" w:rsidRDefault="006D4E7B">
      <w:pPr>
        <w:pStyle w:val="Heading3"/>
        <w:keepNext/>
        <w:ind w:left="1354" w:hanging="677"/>
      </w:pPr>
      <w:r>
        <w:t>Nothing in this agreement:</w:t>
      </w:r>
    </w:p>
    <w:p w:rsidR="00025445" w:rsidRDefault="006D4E7B">
      <w:pPr>
        <w:pStyle w:val="Heading4"/>
      </w:pPr>
      <w:r>
        <w:t>constitutes a partnership between the parties; or</w:t>
      </w:r>
    </w:p>
    <w:p w:rsidR="00025445" w:rsidRDefault="006D4E7B">
      <w:pPr>
        <w:pStyle w:val="Heading4"/>
      </w:pPr>
      <w:r>
        <w:t>except as expressly provided, makes a party an agent of another party for any purpose.</w:t>
      </w:r>
    </w:p>
    <w:p w:rsidR="00025445" w:rsidRDefault="006D4E7B">
      <w:pPr>
        <w:pStyle w:val="Heading3"/>
        <w:keepNext/>
        <w:ind w:left="1354" w:hanging="677"/>
      </w:pPr>
      <w:r>
        <w:t>A party cannot in any way or for any purpose:</w:t>
      </w:r>
    </w:p>
    <w:p w:rsidR="00025445" w:rsidRDefault="006D4E7B">
      <w:pPr>
        <w:pStyle w:val="Heading4"/>
      </w:pPr>
      <w:r>
        <w:t>bind another party; or</w:t>
      </w:r>
    </w:p>
    <w:p w:rsidR="00025445" w:rsidRDefault="006D4E7B">
      <w:pPr>
        <w:pStyle w:val="Heading4"/>
      </w:pPr>
      <w:r>
        <w:t>contract in the name of another party.</w:t>
      </w:r>
    </w:p>
    <w:p w:rsidR="00025445" w:rsidRDefault="006D4E7B">
      <w:pPr>
        <w:pStyle w:val="Heading3"/>
      </w:pPr>
      <w:r>
        <w:t>If a party must fulfil an obligation and that party is dependent on another party, then that other party must do each thing reasonably within its p</w:t>
      </w:r>
      <w:r>
        <w:t>ower to assist the other in the performance of that obligation.</w:t>
      </w:r>
    </w:p>
    <w:p w:rsidR="00025445" w:rsidRDefault="006D4E7B">
      <w:pPr>
        <w:pStyle w:val="Heading2"/>
      </w:pPr>
      <w:bookmarkStart w:id="120" w:name="_Toc485213388"/>
      <w:r>
        <w:t>Assignment</w:t>
      </w:r>
      <w:bookmarkEnd w:id="120"/>
    </w:p>
    <w:p w:rsidR="00025445" w:rsidRDefault="006D4E7B">
      <w:pPr>
        <w:pStyle w:val="bodytext2"/>
      </w:pPr>
      <w:r>
        <w:t xml:space="preserve">A party may not assign, transfer or in any other manner deal with its rights under this agreement. </w:t>
      </w:r>
    </w:p>
    <w:p w:rsidR="00025445" w:rsidRDefault="006D4E7B">
      <w:pPr>
        <w:pStyle w:val="Heading2"/>
      </w:pPr>
      <w:bookmarkStart w:id="121" w:name="_Toc485213389"/>
      <w:r>
        <w:t>Further assurances</w:t>
      </w:r>
      <w:bookmarkEnd w:id="121"/>
    </w:p>
    <w:p w:rsidR="00025445" w:rsidRDefault="006D4E7B">
      <w:pPr>
        <w:pStyle w:val="bodytext2"/>
      </w:pPr>
      <w:r>
        <w:t xml:space="preserve">Each party must promptly execute all documents and do all </w:t>
      </w:r>
      <w:r>
        <w:t>other things reasonably necessary or desirable to give effect to the arrangements recorded in this agreement.</w:t>
      </w:r>
    </w:p>
    <w:p w:rsidR="00025445" w:rsidRDefault="00025445"/>
    <w:p w:rsidR="00025445" w:rsidRDefault="00025445">
      <w:pPr>
        <w:sectPr w:rsidR="00025445">
          <w:headerReference w:type="default" r:id="rId15"/>
          <w:footerReference w:type="default" r:id="rId16"/>
          <w:headerReference w:type="first" r:id="rId17"/>
          <w:footerReference w:type="first" r:id="rId18"/>
          <w:pgSz w:w="11907" w:h="16840" w:code="9"/>
          <w:pgMar w:top="1440" w:right="1440" w:bottom="1440" w:left="1440" w:header="720" w:footer="567" w:gutter="0"/>
          <w:pgNumType w:start="1"/>
          <w:cols w:space="720"/>
          <w:titlePg/>
        </w:sectPr>
      </w:pPr>
    </w:p>
    <w:p w:rsidR="00025445" w:rsidRDefault="006D4E7B">
      <w:pPr>
        <w:pStyle w:val="Schedule"/>
      </w:pPr>
      <w:bookmarkStart w:id="122" w:name="_Toc485213390"/>
      <w:r>
        <w:lastRenderedPageBreak/>
        <w:t>Schedule 1</w:t>
      </w:r>
      <w:r>
        <w:tab/>
        <w:t>Shareholders</w:t>
      </w:r>
      <w:bookmarkEnd w:id="122"/>
    </w:p>
    <w:tbl>
      <w:tblPr>
        <w:tblStyle w:val="KLGatesdefaulttable"/>
        <w:tblW w:w="0" w:type="auto"/>
        <w:tblLook w:val="04A0" w:firstRow="1" w:lastRow="0" w:firstColumn="1" w:lastColumn="0" w:noHBand="0" w:noVBand="1"/>
      </w:tblPr>
      <w:tblGrid>
        <w:gridCol w:w="1848"/>
        <w:gridCol w:w="1848"/>
        <w:gridCol w:w="1849"/>
        <w:gridCol w:w="1849"/>
        <w:gridCol w:w="1849"/>
      </w:tblGrid>
      <w:tr w:rsidR="00025445" w:rsidTr="00025445">
        <w:trPr>
          <w:cnfStyle w:val="100000000000" w:firstRow="1" w:lastRow="0" w:firstColumn="0" w:lastColumn="0" w:oddVBand="0" w:evenVBand="0" w:oddHBand="0" w:evenHBand="0" w:firstRowFirstColumn="0" w:firstRowLastColumn="0" w:lastRowFirstColumn="0" w:lastRowLastColumn="0"/>
        </w:trPr>
        <w:tc>
          <w:tcPr>
            <w:tcW w:w="1848" w:type="dxa"/>
            <w:vAlign w:val="center"/>
          </w:tcPr>
          <w:p w:rsidR="00025445" w:rsidRDefault="006D4E7B">
            <w:pPr>
              <w:jc w:val="center"/>
            </w:pPr>
            <w:r>
              <w:t>Name of Shareholder</w:t>
            </w:r>
          </w:p>
        </w:tc>
        <w:tc>
          <w:tcPr>
            <w:tcW w:w="1848" w:type="dxa"/>
            <w:vAlign w:val="center"/>
          </w:tcPr>
          <w:p w:rsidR="00025445" w:rsidRDefault="006D4E7B">
            <w:pPr>
              <w:jc w:val="center"/>
            </w:pPr>
            <w:r>
              <w:t xml:space="preserve">Founder </w:t>
            </w:r>
            <w:r>
              <w:br/>
              <w:t>(Y/N)</w:t>
            </w:r>
          </w:p>
        </w:tc>
        <w:tc>
          <w:tcPr>
            <w:tcW w:w="1849" w:type="dxa"/>
            <w:vAlign w:val="center"/>
          </w:tcPr>
          <w:p w:rsidR="00025445" w:rsidRDefault="006D4E7B">
            <w:pPr>
              <w:jc w:val="center"/>
            </w:pPr>
            <w:r>
              <w:t xml:space="preserve">Investor </w:t>
            </w:r>
            <w:r>
              <w:br/>
              <w:t>(Y/N)</w:t>
            </w:r>
          </w:p>
        </w:tc>
        <w:tc>
          <w:tcPr>
            <w:tcW w:w="1849" w:type="dxa"/>
            <w:vAlign w:val="center"/>
          </w:tcPr>
          <w:p w:rsidR="00025445" w:rsidRDefault="006D4E7B">
            <w:pPr>
              <w:jc w:val="center"/>
            </w:pPr>
            <w:r>
              <w:t xml:space="preserve">Contact </w:t>
            </w:r>
            <w:r>
              <w:br/>
              <w:t>Details</w:t>
            </w:r>
          </w:p>
        </w:tc>
        <w:tc>
          <w:tcPr>
            <w:tcW w:w="1849" w:type="dxa"/>
            <w:vAlign w:val="center"/>
          </w:tcPr>
          <w:p w:rsidR="00025445" w:rsidRDefault="006D4E7B">
            <w:pPr>
              <w:jc w:val="center"/>
            </w:pPr>
            <w:r>
              <w:t xml:space="preserve">Class of </w:t>
            </w:r>
            <w:r>
              <w:br/>
              <w:t>Share</w:t>
            </w:r>
          </w:p>
        </w:tc>
      </w:tr>
      <w:tr w:rsidR="00025445" w:rsidTr="00025445">
        <w:tc>
          <w:tcPr>
            <w:tcW w:w="1848" w:type="dxa"/>
          </w:tcPr>
          <w:p w:rsidR="00025445" w:rsidRDefault="00025445">
            <w:pPr>
              <w:jc w:val="left"/>
            </w:pPr>
          </w:p>
        </w:tc>
        <w:tc>
          <w:tcPr>
            <w:tcW w:w="1848"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r>
      <w:tr w:rsidR="00025445" w:rsidTr="00025445">
        <w:tc>
          <w:tcPr>
            <w:tcW w:w="1848" w:type="dxa"/>
          </w:tcPr>
          <w:p w:rsidR="00025445" w:rsidRDefault="00025445">
            <w:pPr>
              <w:jc w:val="left"/>
            </w:pPr>
          </w:p>
        </w:tc>
        <w:tc>
          <w:tcPr>
            <w:tcW w:w="1848"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r>
      <w:tr w:rsidR="00025445" w:rsidTr="00025445">
        <w:tc>
          <w:tcPr>
            <w:tcW w:w="1848" w:type="dxa"/>
          </w:tcPr>
          <w:p w:rsidR="00025445" w:rsidRDefault="00025445">
            <w:pPr>
              <w:jc w:val="left"/>
            </w:pPr>
          </w:p>
        </w:tc>
        <w:tc>
          <w:tcPr>
            <w:tcW w:w="1848"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c>
          <w:tcPr>
            <w:tcW w:w="1849" w:type="dxa"/>
          </w:tcPr>
          <w:p w:rsidR="00025445" w:rsidRDefault="00025445">
            <w:pPr>
              <w:jc w:val="left"/>
            </w:pPr>
          </w:p>
        </w:tc>
      </w:tr>
    </w:tbl>
    <w:p w:rsidR="00025445" w:rsidRDefault="00025445"/>
    <w:p w:rsidR="00025445" w:rsidRDefault="006D4E7B">
      <w:r>
        <w:br w:type="page"/>
      </w:r>
    </w:p>
    <w:p w:rsidR="00025445" w:rsidRDefault="006D4E7B">
      <w:pPr>
        <w:pStyle w:val="Schedule"/>
      </w:pPr>
      <w:bookmarkStart w:id="123" w:name="_Toc485213391"/>
      <w:r>
        <w:lastRenderedPageBreak/>
        <w:t>Schedule 2</w:t>
      </w:r>
      <w:r>
        <w:tab/>
        <w:t>Critical Business Matters</w:t>
      </w:r>
      <w:bookmarkEnd w:id="123"/>
      <w:r>
        <w:t xml:space="preserve"> </w:t>
      </w:r>
    </w:p>
    <w:p w:rsidR="00025445" w:rsidRDefault="006D4E7B">
      <w:pPr>
        <w:rPr>
          <w:b/>
        </w:rPr>
      </w:pPr>
      <w:r>
        <w:rPr>
          <w:b/>
        </w:rPr>
        <w:t>Part A: Matters to be determined by Required Resolution</w:t>
      </w:r>
      <w:r>
        <w:rPr>
          <w:rStyle w:val="FootnoteReference"/>
          <w:b/>
        </w:rPr>
        <w:footnoteReference w:id="44"/>
      </w:r>
    </w:p>
    <w:p w:rsidR="00025445" w:rsidRDefault="006D4E7B">
      <w:pPr>
        <w:pStyle w:val="SchHeading1"/>
      </w:pPr>
      <w:r>
        <w:t>Matters to be determined by Required Resolution of the Board are:</w:t>
      </w:r>
    </w:p>
    <w:p w:rsidR="00025445" w:rsidRDefault="006D4E7B">
      <w:pPr>
        <w:pStyle w:val="SchHeading3"/>
      </w:pPr>
      <w:r>
        <w:t>(</w:t>
      </w:r>
      <w:r>
        <w:rPr>
          <w:b/>
        </w:rPr>
        <w:t>business plan</w:t>
      </w:r>
      <w:r>
        <w:t xml:space="preserve">) adopt a business plan </w:t>
      </w:r>
      <w:r>
        <w:t>for the group and vary that business plan;</w:t>
      </w:r>
    </w:p>
    <w:p w:rsidR="00025445" w:rsidRDefault="006D4E7B">
      <w:pPr>
        <w:pStyle w:val="SchHeading3"/>
      </w:pPr>
      <w:r>
        <w:t>(</w:t>
      </w:r>
      <w:r>
        <w:rPr>
          <w:b/>
        </w:rPr>
        <w:t>employees</w:t>
      </w:r>
      <w:r>
        <w:t>) appoint or remove or materially change the terms of engagement of the Founder and key executives or any other employee with a total remuneration package in excess of $[</w:t>
      </w:r>
      <w:r>
        <w:rPr>
          <w:highlight w:val="yellow"/>
        </w:rPr>
        <w:t>100,000</w:t>
      </w:r>
      <w:r>
        <w:t>] per annum, or pay any su</w:t>
      </w:r>
      <w:r>
        <w:t>ch person a bonus;</w:t>
      </w:r>
    </w:p>
    <w:p w:rsidR="00025445" w:rsidRDefault="006D4E7B">
      <w:pPr>
        <w:pStyle w:val="SchHeading3"/>
      </w:pPr>
      <w:r>
        <w:t>(</w:t>
      </w:r>
      <w:r>
        <w:rPr>
          <w:b/>
        </w:rPr>
        <w:t>Board composition</w:t>
      </w:r>
      <w:r>
        <w:t xml:space="preserve">) appoint a director or otherwise alter the structure of the Board other than in accordance with this agreement; </w:t>
      </w:r>
    </w:p>
    <w:p w:rsidR="00025445" w:rsidRDefault="006D4E7B">
      <w:pPr>
        <w:pStyle w:val="SchHeading3"/>
      </w:pPr>
      <w:r>
        <w:t>(</w:t>
      </w:r>
      <w:r>
        <w:rPr>
          <w:b/>
        </w:rPr>
        <w:t>Share Plan</w:t>
      </w:r>
      <w:r>
        <w:t>) adopt or vary the terms of any Share Plan;</w:t>
      </w:r>
    </w:p>
    <w:p w:rsidR="00025445" w:rsidRDefault="006D4E7B">
      <w:pPr>
        <w:pStyle w:val="SchHeading3"/>
      </w:pPr>
      <w:r>
        <w:t>(</w:t>
      </w:r>
      <w:r>
        <w:rPr>
          <w:b/>
        </w:rPr>
        <w:t>accounts</w:t>
      </w:r>
      <w:r>
        <w:t>) the approval of the monthly and annual</w:t>
      </w:r>
      <w:r>
        <w:t xml:space="preserve"> statutory accounts of any Group Company;</w:t>
      </w:r>
    </w:p>
    <w:p w:rsidR="00025445" w:rsidRDefault="006D4E7B">
      <w:pPr>
        <w:pStyle w:val="SchHeading3"/>
      </w:pPr>
      <w:r>
        <w:t>(</w:t>
      </w:r>
      <w:r>
        <w:rPr>
          <w:b/>
        </w:rPr>
        <w:t>accounting practices</w:t>
      </w:r>
      <w:r>
        <w:t xml:space="preserve">) any change to the accounting practices and policies of any Group Company; </w:t>
      </w:r>
    </w:p>
    <w:p w:rsidR="00025445" w:rsidRDefault="006D4E7B">
      <w:pPr>
        <w:pStyle w:val="SchHeading3"/>
      </w:pPr>
      <w:r>
        <w:t>(</w:t>
      </w:r>
      <w:r>
        <w:rPr>
          <w:b/>
        </w:rPr>
        <w:t>change of business</w:t>
      </w:r>
      <w:r>
        <w:t>) make a material change in the nature of the Group’s business;</w:t>
      </w:r>
    </w:p>
    <w:p w:rsidR="00025445" w:rsidRDefault="006D4E7B">
      <w:pPr>
        <w:pStyle w:val="SchHeading3"/>
      </w:pPr>
      <w:r>
        <w:t>(</w:t>
      </w:r>
      <w:r>
        <w:rPr>
          <w:b/>
        </w:rPr>
        <w:t>issuing Securities</w:t>
      </w:r>
      <w:r>
        <w:t>) issue of Sec</w:t>
      </w:r>
      <w:r>
        <w:t>urities, other than an Excluded Issue;</w:t>
      </w:r>
    </w:p>
    <w:p w:rsidR="00025445" w:rsidRDefault="006D4E7B">
      <w:pPr>
        <w:pStyle w:val="SchHeading3"/>
      </w:pPr>
      <w:r>
        <w:t>(</w:t>
      </w:r>
      <w:r>
        <w:rPr>
          <w:b/>
        </w:rPr>
        <w:t>new class of Securities</w:t>
      </w:r>
      <w:r>
        <w:t>) create any class of Securities with rights that are superior to the rights of the Seed Preference Shares;</w:t>
      </w:r>
    </w:p>
    <w:p w:rsidR="00025445" w:rsidRDefault="006D4E7B">
      <w:pPr>
        <w:pStyle w:val="SchHeading3"/>
      </w:pPr>
      <w:r>
        <w:t>(</w:t>
      </w:r>
      <w:r>
        <w:rPr>
          <w:b/>
        </w:rPr>
        <w:t>restructure</w:t>
      </w:r>
      <w:r>
        <w:t xml:space="preserve">) any restructuring involving the Company or any Subsidiaries, including </w:t>
      </w:r>
      <w:r>
        <w:t>the creation of a trust, trustee, subsidiary or branch of the Company or any Subsidiaries;</w:t>
      </w:r>
    </w:p>
    <w:p w:rsidR="00025445" w:rsidRDefault="006D4E7B">
      <w:pPr>
        <w:pStyle w:val="SchHeading3"/>
      </w:pPr>
      <w:r>
        <w:t>(</w:t>
      </w:r>
      <w:r>
        <w:rPr>
          <w:b/>
        </w:rPr>
        <w:t>dividends</w:t>
      </w:r>
      <w:r>
        <w:t>) declare, make or pay a dividend;</w:t>
      </w:r>
    </w:p>
    <w:p w:rsidR="00025445" w:rsidRDefault="006D4E7B">
      <w:pPr>
        <w:pStyle w:val="SchHeading3"/>
      </w:pPr>
      <w:r>
        <w:t>(</w:t>
      </w:r>
      <w:r>
        <w:rPr>
          <w:b/>
        </w:rPr>
        <w:t>administration</w:t>
      </w:r>
      <w:r>
        <w:t>) appoint an external administrator, liquidator or receiver;</w:t>
      </w:r>
    </w:p>
    <w:p w:rsidR="00025445" w:rsidRDefault="006D4E7B">
      <w:pPr>
        <w:pStyle w:val="SchHeading3"/>
      </w:pPr>
      <w:r>
        <w:t>(</w:t>
      </w:r>
      <w:r>
        <w:rPr>
          <w:b/>
        </w:rPr>
        <w:t>partnership</w:t>
      </w:r>
      <w:r>
        <w:t xml:space="preserve">) enter into (or terminate) any </w:t>
      </w:r>
      <w:r>
        <w:t>material partnership, joint venture, profit-sharing agreement, technology licence or collaboration;</w:t>
      </w:r>
    </w:p>
    <w:p w:rsidR="00025445" w:rsidRDefault="006D4E7B">
      <w:pPr>
        <w:pStyle w:val="SchHeading3"/>
      </w:pPr>
      <w:r>
        <w:t>(</w:t>
      </w:r>
      <w:r>
        <w:rPr>
          <w:b/>
        </w:rPr>
        <w:t>capital expenditure</w:t>
      </w:r>
      <w:r>
        <w:t>) incur capital expenditure of more than $[</w:t>
      </w:r>
      <w:r>
        <w:rPr>
          <w:highlight w:val="yellow"/>
        </w:rPr>
        <w:t>insert</w:t>
      </w:r>
      <w:r>
        <w:t>] in a financial year;</w:t>
      </w:r>
    </w:p>
    <w:p w:rsidR="00025445" w:rsidRDefault="006D4E7B">
      <w:pPr>
        <w:pStyle w:val="SchHeading3"/>
      </w:pPr>
      <w:r>
        <w:t>(</w:t>
      </w:r>
      <w:r>
        <w:rPr>
          <w:b/>
        </w:rPr>
        <w:t>financial indebtedness</w:t>
      </w:r>
      <w:r>
        <w:t>) incur any financial indebtedness by the</w:t>
      </w:r>
      <w:r>
        <w:t xml:space="preserve"> Group which exceeds $[</w:t>
      </w:r>
      <w:r>
        <w:rPr>
          <w:highlight w:val="yellow"/>
        </w:rPr>
        <w:t>insert</w:t>
      </w:r>
      <w:r>
        <w:t xml:space="preserve">] (and for these purposes, “financial indebtedness” </w:t>
      </w:r>
      <w:r>
        <w:lastRenderedPageBreak/>
        <w:t xml:space="preserve">means any indebtedness, present or future, actual or contingent, in respect of money borrower or raised or any financial accommodation); </w:t>
      </w:r>
    </w:p>
    <w:p w:rsidR="00025445" w:rsidRDefault="006D4E7B">
      <w:pPr>
        <w:pStyle w:val="SchHeading3"/>
      </w:pPr>
      <w:r>
        <w:t>(</w:t>
      </w:r>
      <w:r>
        <w:rPr>
          <w:b/>
        </w:rPr>
        <w:t>encumbrances</w:t>
      </w:r>
      <w:r>
        <w:t>) grant any Security Int</w:t>
      </w:r>
      <w:r>
        <w:t xml:space="preserve">erest of any nature in respect of all or any material part of the Company’s undertaking, property, assets or the issuance of any guarantee in favour of the obligations of a third party; </w:t>
      </w:r>
    </w:p>
    <w:p w:rsidR="00025445" w:rsidRDefault="006D4E7B">
      <w:pPr>
        <w:pStyle w:val="SchHeading3"/>
      </w:pPr>
      <w:r>
        <w:t>(</w:t>
      </w:r>
      <w:r>
        <w:rPr>
          <w:b/>
        </w:rPr>
        <w:t>Insurance</w:t>
      </w:r>
      <w:r>
        <w:t>) enter into any D&amp;O insurance policy for the board and the</w:t>
      </w:r>
      <w:r>
        <w:t xml:space="preserve"> Company’s senior executives; and</w:t>
      </w:r>
    </w:p>
    <w:p w:rsidR="00025445" w:rsidRDefault="006D4E7B">
      <w:pPr>
        <w:pStyle w:val="SchHeading3"/>
      </w:pPr>
      <w:r>
        <w:t>(</w:t>
      </w:r>
      <w:r>
        <w:rPr>
          <w:b/>
        </w:rPr>
        <w:t>sale</w:t>
      </w:r>
      <w:r>
        <w:t>) a sale of a majority of the assets of the Company or a transaction to sell or licence all or a substantial part of the Intellectual Property Rights of the Company.</w:t>
      </w:r>
    </w:p>
    <w:p w:rsidR="00025445" w:rsidRDefault="006D4E7B">
      <w:pPr>
        <w:rPr>
          <w:b/>
        </w:rPr>
      </w:pPr>
      <w:r>
        <w:rPr>
          <w:b/>
        </w:rPr>
        <w:t>Part B: Matters to be determined by Special Resolut</w:t>
      </w:r>
      <w:r>
        <w:rPr>
          <w:b/>
        </w:rPr>
        <w:t>ion of Shareholders</w:t>
      </w:r>
    </w:p>
    <w:p w:rsidR="00025445" w:rsidRDefault="006D4E7B">
      <w:pPr>
        <w:pStyle w:val="SchHeading1"/>
      </w:pPr>
      <w:r>
        <w:t>Matters to be determined by Special Resolution of the Shareholders are:</w:t>
      </w:r>
    </w:p>
    <w:p w:rsidR="00025445" w:rsidRDefault="006D4E7B">
      <w:pPr>
        <w:pStyle w:val="SchHeading3"/>
      </w:pPr>
      <w:r>
        <w:t>(</w:t>
      </w:r>
      <w:r>
        <w:rPr>
          <w:b/>
        </w:rPr>
        <w:t>Share rights</w:t>
      </w:r>
      <w:r>
        <w:t xml:space="preserve">) varying the rights of any Shares; </w:t>
      </w:r>
    </w:p>
    <w:p w:rsidR="00025445" w:rsidRDefault="006D4E7B">
      <w:pPr>
        <w:pStyle w:val="SchHeading3"/>
      </w:pPr>
      <w:r>
        <w:t>(</w:t>
      </w:r>
      <w:r>
        <w:rPr>
          <w:b/>
        </w:rPr>
        <w:t>Constitution</w:t>
      </w:r>
      <w:r>
        <w:t>) amend the constitution of the Company; and</w:t>
      </w:r>
    </w:p>
    <w:p w:rsidR="00025445" w:rsidRDefault="006D4E7B">
      <w:pPr>
        <w:pStyle w:val="SchHeading3"/>
      </w:pPr>
      <w:r>
        <w:t>(</w:t>
      </w:r>
      <w:r>
        <w:rPr>
          <w:b/>
        </w:rPr>
        <w:t>related party transactions</w:t>
      </w:r>
      <w:r>
        <w:t xml:space="preserve">) other than as permitted by </w:t>
      </w:r>
      <w:r>
        <w:t xml:space="preserve">this agreement or the Constitution, transactions between the Company and a Shareholder or its Affiliate which are outside of the ordinary course of business, otherwise than on arm’s length terms. </w:t>
      </w:r>
    </w:p>
    <w:p w:rsidR="00025445" w:rsidRDefault="006D4E7B">
      <w:r>
        <w:br w:type="page"/>
      </w:r>
    </w:p>
    <w:p w:rsidR="00025445" w:rsidRDefault="006D4E7B">
      <w:pPr>
        <w:pStyle w:val="Schedule"/>
      </w:pPr>
      <w:bookmarkStart w:id="124" w:name="_Toc485213392"/>
      <w:r>
        <w:lastRenderedPageBreak/>
        <w:t>Signing page</w:t>
      </w:r>
      <w:bookmarkEnd w:id="124"/>
    </w:p>
    <w:p w:rsidR="00025445" w:rsidRDefault="006D4E7B">
      <w:r>
        <w:t>Executed as an agreement.</w:t>
      </w:r>
    </w:p>
    <w:p w:rsidR="00025445" w:rsidRDefault="00025445">
      <w:pPr>
        <w:rPr>
          <w:b/>
        </w:rPr>
      </w:pPr>
    </w:p>
    <w:tbl>
      <w:tblPr>
        <w:tblW w:w="0" w:type="auto"/>
        <w:tblLayout w:type="fixed"/>
        <w:tblLook w:val="0000" w:firstRow="0" w:lastRow="0" w:firstColumn="0" w:lastColumn="0" w:noHBand="0" w:noVBand="0"/>
      </w:tblPr>
      <w:tblGrid>
        <w:gridCol w:w="4928"/>
        <w:gridCol w:w="425"/>
        <w:gridCol w:w="4502"/>
      </w:tblGrid>
      <w:tr w:rsidR="00025445">
        <w:tc>
          <w:tcPr>
            <w:tcW w:w="4928" w:type="dxa"/>
          </w:tcPr>
          <w:p w:rsidR="00025445" w:rsidRDefault="006D4E7B">
            <w:pPr>
              <w:keepNext/>
              <w:keepLines/>
              <w:spacing w:after="0"/>
            </w:pPr>
            <w:r>
              <w:rPr>
                <w:b/>
              </w:rPr>
              <w:t>Executed</w:t>
            </w:r>
            <w:r>
              <w:rPr>
                <w:bCs/>
              </w:rPr>
              <w:t xml:space="preserve"> </w:t>
            </w:r>
            <w:r>
              <w:t xml:space="preserve">by </w:t>
            </w:r>
            <w:r>
              <w:rPr>
                <w:b/>
                <w:bCs/>
                <w:color w:val="0000FF"/>
              </w:rPr>
              <w:t xml:space="preserve"> </w:t>
            </w:r>
            <w:r>
              <w:rPr>
                <w:b/>
                <w:highlight w:val="yellow"/>
              </w:rPr>
              <w:t>Comp</w:t>
            </w:r>
            <w:r>
              <w:rPr>
                <w:b/>
                <w:highlight w:val="yellow"/>
              </w:rPr>
              <w:t>any Name</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rPr>
                <w:rStyle w:val="FootnoteReference"/>
                <w:i/>
                <w:iCs/>
              </w:rPr>
              <w:footnoteReference w:id="45"/>
            </w:r>
            <w:r>
              <w:t>:</w:t>
            </w:r>
          </w:p>
        </w:tc>
        <w:tc>
          <w:tcPr>
            <w:tcW w:w="425" w:type="dxa"/>
          </w:tcPr>
          <w:p w:rsidR="00025445" w:rsidRDefault="00025445">
            <w:pPr>
              <w:keepNext/>
              <w:keepLines/>
              <w:spacing w:after="0"/>
            </w:pPr>
          </w:p>
          <w:p w:rsidR="00025445" w:rsidRDefault="00025445">
            <w:pPr>
              <w:keepNext/>
              <w:keepLines/>
              <w:spacing w:after="0"/>
            </w:pPr>
          </w:p>
          <w:p w:rsidR="00025445" w:rsidRDefault="00025445">
            <w:pPr>
              <w:keepNext/>
              <w:keepLines/>
              <w:spacing w:after="0"/>
            </w:pPr>
          </w:p>
          <w:p w:rsidR="00025445" w:rsidRDefault="00025445">
            <w:pPr>
              <w:keepNext/>
              <w:keepLines/>
              <w:spacing w:after="0"/>
            </w:pPr>
          </w:p>
        </w:tc>
        <w:tc>
          <w:tcPr>
            <w:tcW w:w="4502" w:type="dxa"/>
          </w:tcPr>
          <w:p w:rsidR="00025445" w:rsidRDefault="00025445">
            <w:pPr>
              <w:keepNext/>
              <w:keepLine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928" w:type="dxa"/>
          </w:tcPr>
          <w:p w:rsidR="00025445" w:rsidRDefault="006D4E7B">
            <w:pPr>
              <w:keepNext/>
              <w:keepLines/>
              <w:tabs>
                <w:tab w:val="left" w:leader="dot" w:pos="4253"/>
              </w:tabs>
              <w:spacing w:after="0"/>
              <w:jc w:val="center"/>
            </w:pPr>
            <w:r>
              <w:t>Signature of director</w:t>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pPr>
            <w:r>
              <w:t>Signature of director or company secretary*</w:t>
            </w:r>
          </w:p>
        </w:tc>
      </w:tr>
      <w:tr w:rsidR="00025445">
        <w:tc>
          <w:tcPr>
            <w:tcW w:w="4928" w:type="dxa"/>
          </w:tcPr>
          <w:p w:rsidR="00025445" w:rsidRDefault="00025445">
            <w:pPr>
              <w:keepNext/>
              <w:keepLines/>
              <w:tabs>
                <w:tab w:val="left" w:leader="dot" w:pos="4253"/>
              </w:tabs>
              <w:spacing w:after="0"/>
              <w:jc w:val="center"/>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rPr>
                <w:sz w:val="18"/>
              </w:rPr>
            </w:pPr>
            <w:r>
              <w:rPr>
                <w:sz w:val="18"/>
              </w:rPr>
              <w:t>*delete whichever does not apply</w:t>
            </w: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928" w:type="dxa"/>
          </w:tcPr>
          <w:p w:rsidR="00025445" w:rsidRDefault="006D4E7B">
            <w:pPr>
              <w:spacing w:after="0"/>
              <w:jc w:val="center"/>
            </w:pPr>
            <w:r>
              <w:t xml:space="preserve">Name </w:t>
            </w:r>
            <w:r>
              <w:rPr>
                <w:sz w:val="18"/>
              </w:rPr>
              <w:t>(please print)</w:t>
            </w:r>
          </w:p>
        </w:tc>
        <w:tc>
          <w:tcPr>
            <w:tcW w:w="425" w:type="dxa"/>
          </w:tcPr>
          <w:p w:rsidR="00025445" w:rsidRDefault="00025445">
            <w:pPr>
              <w:keepNext/>
              <w:keepLines/>
              <w:tabs>
                <w:tab w:val="left" w:leader="dot" w:pos="4253"/>
              </w:tabs>
              <w:spacing w:after="0"/>
            </w:pPr>
          </w:p>
        </w:tc>
        <w:tc>
          <w:tcPr>
            <w:tcW w:w="4502" w:type="dxa"/>
          </w:tcPr>
          <w:p w:rsidR="00025445" w:rsidRDefault="006D4E7B">
            <w:pPr>
              <w:spacing w:after="0"/>
              <w:jc w:val="center"/>
            </w:pPr>
            <w:r>
              <w:t xml:space="preserve">Name </w:t>
            </w:r>
            <w:r>
              <w:rPr>
                <w:sz w:val="18"/>
              </w:rPr>
              <w:t>(please print)</w:t>
            </w:r>
          </w:p>
        </w:tc>
      </w:tr>
    </w:tbl>
    <w:p w:rsidR="00025445" w:rsidRDefault="00025445"/>
    <w:p w:rsidR="00025445" w:rsidRDefault="00025445"/>
    <w:p w:rsidR="00025445" w:rsidRDefault="00025445"/>
    <w:tbl>
      <w:tblPr>
        <w:tblW w:w="0" w:type="auto"/>
        <w:tblInd w:w="108" w:type="dxa"/>
        <w:tblLayout w:type="fixed"/>
        <w:tblLook w:val="0000" w:firstRow="0" w:lastRow="0" w:firstColumn="0" w:lastColumn="0" w:noHBand="0" w:noVBand="0"/>
      </w:tblPr>
      <w:tblGrid>
        <w:gridCol w:w="4820"/>
        <w:gridCol w:w="425"/>
        <w:gridCol w:w="4502"/>
      </w:tblGrid>
      <w:tr w:rsidR="00025445">
        <w:tc>
          <w:tcPr>
            <w:tcW w:w="4820" w:type="dxa"/>
          </w:tcPr>
          <w:p w:rsidR="00025445" w:rsidRDefault="006D4E7B">
            <w:pPr>
              <w:keepNext/>
              <w:keepLines/>
              <w:spacing w:after="0"/>
            </w:pPr>
            <w:r>
              <w:rPr>
                <w:b/>
              </w:rPr>
              <w:t>Executed</w:t>
            </w:r>
            <w:r>
              <w:t xml:space="preserve"> by </w:t>
            </w:r>
            <w:r>
              <w:rPr>
                <w:b/>
                <w:color w:val="0000FF"/>
              </w:rPr>
              <w:t xml:space="preserve"> </w:t>
            </w:r>
            <w:r>
              <w:rPr>
                <w:b/>
                <w:highlight w:val="yellow"/>
              </w:rPr>
              <w:t>Company Name</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rPr>
                <w:rStyle w:val="FootnoteReference"/>
                <w:i/>
                <w:iCs/>
              </w:rPr>
              <w:footnoteReference w:id="46"/>
            </w:r>
            <w:r>
              <w:t>:</w:t>
            </w:r>
          </w:p>
        </w:tc>
        <w:tc>
          <w:tcPr>
            <w:tcW w:w="425" w:type="dxa"/>
          </w:tcPr>
          <w:p w:rsidR="00025445" w:rsidRDefault="00025445">
            <w:pPr>
              <w:keepNext/>
              <w:keepLines/>
              <w:spacing w:after="0"/>
            </w:pPr>
          </w:p>
          <w:p w:rsidR="00025445" w:rsidRDefault="00025445">
            <w:pPr>
              <w:keepNext/>
              <w:keepLines/>
              <w:spacing w:after="0"/>
            </w:pPr>
          </w:p>
          <w:p w:rsidR="00025445" w:rsidRDefault="00025445">
            <w:pPr>
              <w:keepNext/>
              <w:keepLines/>
              <w:spacing w:after="0"/>
            </w:pPr>
          </w:p>
          <w:p w:rsidR="00025445" w:rsidRDefault="00025445">
            <w:pPr>
              <w:keepNext/>
              <w:keepLines/>
              <w:spacing w:after="0"/>
            </w:pPr>
          </w:p>
        </w:tc>
        <w:tc>
          <w:tcPr>
            <w:tcW w:w="4502" w:type="dxa"/>
          </w:tcPr>
          <w:p w:rsidR="00025445" w:rsidRDefault="00025445">
            <w:pPr>
              <w:keepNext/>
              <w:keepLines/>
              <w:spacing w:after="0"/>
            </w:pPr>
          </w:p>
        </w:tc>
      </w:tr>
      <w:tr w:rsidR="00025445">
        <w:tc>
          <w:tcPr>
            <w:tcW w:w="4820"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820"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pPr>
            <w:r>
              <w:t>Signature of sole director and sole company secretary</w:t>
            </w:r>
          </w:p>
        </w:tc>
      </w:tr>
      <w:tr w:rsidR="00025445">
        <w:tc>
          <w:tcPr>
            <w:tcW w:w="4820"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820"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820"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820" w:type="dxa"/>
          </w:tcPr>
          <w:p w:rsidR="00025445" w:rsidRDefault="00025445">
            <w:pPr>
              <w:keepNext/>
              <w:keepLine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spacing w:after="0"/>
              <w:jc w:val="center"/>
            </w:pPr>
            <w:r>
              <w:t xml:space="preserve">Name </w:t>
            </w:r>
            <w:r>
              <w:rPr>
                <w:sz w:val="18"/>
              </w:rPr>
              <w:t>(please print)</w:t>
            </w:r>
          </w:p>
        </w:tc>
      </w:tr>
    </w:tbl>
    <w:p w:rsidR="00025445" w:rsidRDefault="00025445"/>
    <w:p w:rsidR="00025445" w:rsidRDefault="00025445"/>
    <w:p w:rsidR="00025445" w:rsidRDefault="00025445"/>
    <w:tbl>
      <w:tblPr>
        <w:tblW w:w="9855" w:type="dxa"/>
        <w:tblLayout w:type="fixed"/>
        <w:tblLook w:val="0000" w:firstRow="0" w:lastRow="0" w:firstColumn="0" w:lastColumn="0" w:noHBand="0" w:noVBand="0"/>
      </w:tblPr>
      <w:tblGrid>
        <w:gridCol w:w="4928"/>
        <w:gridCol w:w="425"/>
        <w:gridCol w:w="4502"/>
      </w:tblGrid>
      <w:tr w:rsidR="00025445">
        <w:tc>
          <w:tcPr>
            <w:tcW w:w="4928" w:type="dxa"/>
          </w:tcPr>
          <w:p w:rsidR="00025445" w:rsidRDefault="006D4E7B">
            <w:pPr>
              <w:keepNext/>
              <w:keepLines/>
              <w:spacing w:after="0"/>
            </w:pPr>
            <w:r>
              <w:rPr>
                <w:b/>
              </w:rPr>
              <w:lastRenderedPageBreak/>
              <w:t xml:space="preserve">Signed </w:t>
            </w:r>
            <w:r>
              <w:t>by</w:t>
            </w:r>
            <w:r>
              <w:rPr>
                <w:b/>
              </w:rPr>
              <w:t xml:space="preserve"> </w:t>
            </w:r>
            <w:r>
              <w:rPr>
                <w:b/>
                <w:highlight w:val="yellow"/>
              </w:rPr>
              <w:t xml:space="preserve">Shareholder </w:t>
            </w:r>
            <w:r>
              <w:rPr>
                <w:b/>
                <w:highlight w:val="yellow"/>
              </w:rPr>
              <w:t>Name</w:t>
            </w:r>
            <w:r>
              <w:rPr>
                <w:b/>
              </w:rPr>
              <w:t xml:space="preserve"> </w:t>
            </w:r>
            <w:r>
              <w:t>in the presence of</w:t>
            </w:r>
            <w:r>
              <w:rPr>
                <w:rStyle w:val="FootnoteReference"/>
              </w:rPr>
              <w:footnoteReference w:id="47"/>
            </w:r>
            <w:r>
              <w:t>:</w:t>
            </w:r>
          </w:p>
        </w:tc>
        <w:tc>
          <w:tcPr>
            <w:tcW w:w="425" w:type="dxa"/>
          </w:tcPr>
          <w:p w:rsidR="00025445" w:rsidRDefault="00025445">
            <w:pPr>
              <w:keepNext/>
              <w:keepLines/>
              <w:spacing w:after="0"/>
            </w:pPr>
          </w:p>
          <w:p w:rsidR="00025445" w:rsidRDefault="00025445">
            <w:pPr>
              <w:keepNext/>
              <w:keepLines/>
              <w:spacing w:after="0"/>
            </w:pPr>
          </w:p>
        </w:tc>
        <w:tc>
          <w:tcPr>
            <w:tcW w:w="4502" w:type="dxa"/>
          </w:tcPr>
          <w:p w:rsidR="00025445" w:rsidRDefault="00025445">
            <w:pPr>
              <w:keepNext/>
              <w:keepLines/>
              <w:tabs>
                <w:tab w:val="left" w:leader="dot" w:pos="4253"/>
              </w:tabs>
              <w:spacing w:after="0"/>
            </w:pPr>
          </w:p>
          <w:p w:rsidR="00025445" w:rsidRDefault="00025445">
            <w:pPr>
              <w:keepNext/>
              <w:keepLines/>
              <w:tabs>
                <w:tab w:val="left" w:leader="dot" w:pos="4253"/>
              </w:tabs>
              <w:spacing w:after="0"/>
              <w:jc w:val="center"/>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pPr>
            <w:r>
              <w:t>Signature</w:t>
            </w: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jc w:val="center"/>
            </w:pPr>
            <w:r>
              <w:t>Signature of witness</w:t>
            </w: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jc w:val="center"/>
            </w:pPr>
            <w:r>
              <w:t>Name of witness</w:t>
            </w:r>
          </w:p>
          <w:p w:rsidR="00025445" w:rsidRDefault="006D4E7B">
            <w:pPr>
              <w:spacing w:after="0"/>
              <w:jc w:val="center"/>
              <w:rPr>
                <w:sz w:val="18"/>
              </w:rPr>
            </w:pPr>
            <w:r>
              <w:rPr>
                <w:sz w:val="18"/>
              </w:rPr>
              <w:t>(please print)</w:t>
            </w:r>
          </w:p>
        </w:tc>
        <w:tc>
          <w:tcPr>
            <w:tcW w:w="425" w:type="dxa"/>
          </w:tcPr>
          <w:p w:rsidR="00025445" w:rsidRDefault="00025445">
            <w:pPr>
              <w:keepNext/>
              <w:keepLines/>
              <w:tabs>
                <w:tab w:val="left" w:leader="dot" w:pos="4253"/>
              </w:tabs>
              <w:spacing w:after="0"/>
            </w:pPr>
          </w:p>
        </w:tc>
        <w:tc>
          <w:tcPr>
            <w:tcW w:w="4502" w:type="dxa"/>
          </w:tcPr>
          <w:p w:rsidR="00025445" w:rsidRDefault="00025445">
            <w:pPr>
              <w:spacing w:after="0"/>
            </w:pPr>
          </w:p>
        </w:tc>
      </w:tr>
    </w:tbl>
    <w:p w:rsidR="00025445" w:rsidRDefault="00025445"/>
    <w:p w:rsidR="00025445" w:rsidRDefault="00025445"/>
    <w:tbl>
      <w:tblPr>
        <w:tblW w:w="0" w:type="auto"/>
        <w:tblLayout w:type="fixed"/>
        <w:tblLook w:val="0000" w:firstRow="0" w:lastRow="0" w:firstColumn="0" w:lastColumn="0" w:noHBand="0" w:noVBand="0"/>
      </w:tblPr>
      <w:tblGrid>
        <w:gridCol w:w="4928"/>
        <w:gridCol w:w="425"/>
        <w:gridCol w:w="4502"/>
      </w:tblGrid>
      <w:tr w:rsidR="00025445">
        <w:tc>
          <w:tcPr>
            <w:tcW w:w="4928" w:type="dxa"/>
          </w:tcPr>
          <w:p w:rsidR="00025445" w:rsidRDefault="006D4E7B">
            <w:pPr>
              <w:keepNext/>
              <w:keepLines/>
              <w:spacing w:after="0"/>
            </w:pPr>
            <w:r>
              <w:rPr>
                <w:b/>
              </w:rPr>
              <w:t>Executed</w:t>
            </w:r>
            <w:r>
              <w:rPr>
                <w:bCs/>
              </w:rPr>
              <w:t xml:space="preserve"> </w:t>
            </w:r>
            <w:r>
              <w:t xml:space="preserve">by </w:t>
            </w:r>
            <w:r>
              <w:rPr>
                <w:b/>
                <w:highlight w:val="yellow"/>
              </w:rPr>
              <w:t>Shareholder Name</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rPr>
                <w:rStyle w:val="FootnoteReference"/>
                <w:i/>
                <w:iCs/>
              </w:rPr>
              <w:footnoteReference w:id="48"/>
            </w:r>
            <w:r>
              <w:t>:</w:t>
            </w:r>
          </w:p>
        </w:tc>
        <w:tc>
          <w:tcPr>
            <w:tcW w:w="425" w:type="dxa"/>
          </w:tcPr>
          <w:p w:rsidR="00025445" w:rsidRDefault="00025445">
            <w:pPr>
              <w:keepNext/>
              <w:keepLines/>
              <w:spacing w:after="0"/>
            </w:pPr>
          </w:p>
          <w:p w:rsidR="00025445" w:rsidRDefault="00025445">
            <w:pPr>
              <w:keepNext/>
              <w:keepLines/>
              <w:spacing w:after="0"/>
            </w:pPr>
          </w:p>
          <w:p w:rsidR="00025445" w:rsidRDefault="00025445">
            <w:pPr>
              <w:keepNext/>
              <w:keepLines/>
              <w:spacing w:after="0"/>
            </w:pPr>
          </w:p>
          <w:p w:rsidR="00025445" w:rsidRDefault="00025445">
            <w:pPr>
              <w:keepNext/>
              <w:keepLines/>
              <w:spacing w:after="0"/>
            </w:pPr>
          </w:p>
        </w:tc>
        <w:tc>
          <w:tcPr>
            <w:tcW w:w="4502" w:type="dxa"/>
          </w:tcPr>
          <w:p w:rsidR="00025445" w:rsidRDefault="00025445">
            <w:pPr>
              <w:keepNext/>
              <w:keepLine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928" w:type="dxa"/>
          </w:tcPr>
          <w:p w:rsidR="00025445" w:rsidRDefault="006D4E7B">
            <w:pPr>
              <w:keepNext/>
              <w:keepLines/>
              <w:tabs>
                <w:tab w:val="left" w:leader="dot" w:pos="4253"/>
              </w:tabs>
              <w:spacing w:after="0"/>
              <w:jc w:val="center"/>
            </w:pPr>
            <w:r>
              <w:t>Signature of director</w:t>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pPr>
            <w:r>
              <w:t>Signature of director or company secretary*</w:t>
            </w:r>
          </w:p>
        </w:tc>
      </w:tr>
      <w:tr w:rsidR="00025445">
        <w:tc>
          <w:tcPr>
            <w:tcW w:w="4928" w:type="dxa"/>
          </w:tcPr>
          <w:p w:rsidR="00025445" w:rsidRDefault="00025445">
            <w:pPr>
              <w:keepNext/>
              <w:keepLines/>
              <w:tabs>
                <w:tab w:val="left" w:leader="dot" w:pos="4253"/>
              </w:tabs>
              <w:spacing w:after="0"/>
              <w:jc w:val="center"/>
            </w:pP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jc w:val="center"/>
              <w:rPr>
                <w:sz w:val="18"/>
              </w:rPr>
            </w:pPr>
            <w:r>
              <w:rPr>
                <w:sz w:val="18"/>
              </w:rPr>
              <w:t>*delete whichever does not apply</w:t>
            </w: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025445">
            <w:pPr>
              <w:keepNext/>
              <w:keepLines/>
              <w:tabs>
                <w:tab w:val="left" w:leader="dot" w:pos="4253"/>
              </w:tabs>
              <w:spacing w:after="0"/>
            </w:pPr>
          </w:p>
        </w:tc>
        <w:tc>
          <w:tcPr>
            <w:tcW w:w="425" w:type="dxa"/>
          </w:tcPr>
          <w:p w:rsidR="00025445" w:rsidRDefault="00025445">
            <w:pPr>
              <w:keepNext/>
              <w:keepLines/>
              <w:tabs>
                <w:tab w:val="left" w:leader="dot" w:pos="4253"/>
              </w:tabs>
              <w:spacing w:after="0"/>
            </w:pPr>
          </w:p>
        </w:tc>
        <w:tc>
          <w:tcPr>
            <w:tcW w:w="4502" w:type="dxa"/>
          </w:tcPr>
          <w:p w:rsidR="00025445" w:rsidRDefault="00025445">
            <w:pPr>
              <w:keepNext/>
              <w:keepLines/>
              <w:tabs>
                <w:tab w:val="left" w:leader="dot" w:pos="4253"/>
              </w:tabs>
              <w:spacing w:after="0"/>
            </w:pPr>
          </w:p>
        </w:tc>
      </w:tr>
      <w:tr w:rsidR="00025445">
        <w:tc>
          <w:tcPr>
            <w:tcW w:w="4928" w:type="dxa"/>
          </w:tcPr>
          <w:p w:rsidR="00025445" w:rsidRDefault="006D4E7B">
            <w:pPr>
              <w:keepNext/>
              <w:keepLines/>
              <w:tabs>
                <w:tab w:val="left" w:leader="dot" w:pos="4253"/>
              </w:tabs>
              <w:spacing w:after="0"/>
            </w:pPr>
            <w:r>
              <w:tab/>
            </w:r>
          </w:p>
        </w:tc>
        <w:tc>
          <w:tcPr>
            <w:tcW w:w="425" w:type="dxa"/>
          </w:tcPr>
          <w:p w:rsidR="00025445" w:rsidRDefault="00025445">
            <w:pPr>
              <w:keepNext/>
              <w:keepLines/>
              <w:tabs>
                <w:tab w:val="left" w:leader="dot" w:pos="4253"/>
              </w:tabs>
              <w:spacing w:after="0"/>
            </w:pPr>
          </w:p>
        </w:tc>
        <w:tc>
          <w:tcPr>
            <w:tcW w:w="4502" w:type="dxa"/>
          </w:tcPr>
          <w:p w:rsidR="00025445" w:rsidRDefault="006D4E7B">
            <w:pPr>
              <w:keepNext/>
              <w:keepLines/>
              <w:tabs>
                <w:tab w:val="left" w:leader="dot" w:pos="4253"/>
              </w:tabs>
              <w:spacing w:after="0"/>
            </w:pPr>
            <w:r>
              <w:tab/>
            </w:r>
          </w:p>
        </w:tc>
      </w:tr>
      <w:tr w:rsidR="00025445">
        <w:tc>
          <w:tcPr>
            <w:tcW w:w="4928" w:type="dxa"/>
          </w:tcPr>
          <w:p w:rsidR="00025445" w:rsidRDefault="006D4E7B">
            <w:pPr>
              <w:spacing w:after="0"/>
              <w:jc w:val="center"/>
            </w:pPr>
            <w:r>
              <w:t xml:space="preserve">Name </w:t>
            </w:r>
            <w:r>
              <w:rPr>
                <w:sz w:val="18"/>
              </w:rPr>
              <w:t>(please print)</w:t>
            </w:r>
          </w:p>
        </w:tc>
        <w:tc>
          <w:tcPr>
            <w:tcW w:w="425" w:type="dxa"/>
          </w:tcPr>
          <w:p w:rsidR="00025445" w:rsidRDefault="00025445">
            <w:pPr>
              <w:keepNext/>
              <w:keepLines/>
              <w:tabs>
                <w:tab w:val="left" w:leader="dot" w:pos="4253"/>
              </w:tabs>
              <w:spacing w:after="0"/>
            </w:pPr>
          </w:p>
        </w:tc>
        <w:tc>
          <w:tcPr>
            <w:tcW w:w="4502" w:type="dxa"/>
          </w:tcPr>
          <w:p w:rsidR="00025445" w:rsidRDefault="006D4E7B">
            <w:pPr>
              <w:spacing w:after="0"/>
              <w:jc w:val="center"/>
            </w:pPr>
            <w:r>
              <w:t xml:space="preserve">Name </w:t>
            </w:r>
            <w:r>
              <w:rPr>
                <w:sz w:val="18"/>
              </w:rPr>
              <w:t>(please print)</w:t>
            </w:r>
          </w:p>
        </w:tc>
      </w:tr>
    </w:tbl>
    <w:p w:rsidR="00025445" w:rsidRDefault="00025445"/>
    <w:p w:rsidR="00025445" w:rsidRDefault="00025445"/>
    <w:p w:rsidR="00025445" w:rsidRDefault="00025445"/>
    <w:p w:rsidR="00025445" w:rsidRDefault="00025445"/>
    <w:p w:rsidR="00025445" w:rsidRDefault="00025445"/>
    <w:p w:rsidR="00025445" w:rsidRDefault="006D4E7B">
      <w:r>
        <w:br w:type="page"/>
      </w:r>
    </w:p>
    <w:p w:rsidR="00025445" w:rsidRDefault="006D4E7B">
      <w:pPr>
        <w:pStyle w:val="Schedule"/>
      </w:pPr>
      <w:bookmarkStart w:id="125" w:name="_Toc485213393"/>
      <w:r>
        <w:lastRenderedPageBreak/>
        <w:t>Annexure A</w:t>
      </w:r>
      <w:r>
        <w:tab/>
        <w:t>Deed of Accession</w:t>
      </w:r>
      <w:bookmarkEnd w:id="125"/>
    </w:p>
    <w:p w:rsidR="00025445" w:rsidRDefault="006D4E7B">
      <w:r>
        <w:t>By [Acceding Party's name] of [Acceding Party's address] (</w:t>
      </w:r>
      <w:r>
        <w:rPr>
          <w:b/>
        </w:rPr>
        <w:t>New Shareholder</w:t>
      </w:r>
      <w:r>
        <w:t>)</w:t>
      </w:r>
    </w:p>
    <w:p w:rsidR="00025445" w:rsidRDefault="006D4E7B">
      <w:r>
        <w:rPr>
          <w:b/>
        </w:rPr>
        <w:t>In favour of</w:t>
      </w:r>
      <w:r>
        <w:t xml:space="preserve"> the parties to the Shareholders Agreement from time to time.</w:t>
      </w:r>
    </w:p>
    <w:p w:rsidR="00025445" w:rsidRDefault="006D4E7B">
      <w:pPr>
        <w:rPr>
          <w:b/>
        </w:rPr>
      </w:pPr>
      <w:r>
        <w:rPr>
          <w:b/>
        </w:rPr>
        <w:t>RECITALS</w:t>
      </w:r>
    </w:p>
    <w:p w:rsidR="00025445" w:rsidRDefault="006D4E7B">
      <w:pPr>
        <w:ind w:left="677" w:hanging="677"/>
      </w:pPr>
      <w:r>
        <w:t>A.</w:t>
      </w:r>
      <w:r>
        <w:tab/>
        <w:t>The New Shareholder has acquired or will acquire securities in [</w:t>
      </w:r>
      <w:r>
        <w:rPr>
          <w:highlight w:val="yellow"/>
        </w:rPr>
        <w:t>insert</w:t>
      </w:r>
      <w:r>
        <w:t>] (the Company).</w:t>
      </w:r>
    </w:p>
    <w:p w:rsidR="00025445" w:rsidRDefault="006D4E7B">
      <w:pPr>
        <w:ind w:left="677" w:hanging="677"/>
      </w:pPr>
      <w:r>
        <w:t>B.</w:t>
      </w:r>
      <w:r>
        <w:tab/>
        <w:t>This deed poll is supplemental to the shareholders agreement da</w:t>
      </w:r>
      <w:r>
        <w:t>ted [</w:t>
      </w:r>
      <w:r>
        <w:rPr>
          <w:highlight w:val="yellow"/>
        </w:rPr>
        <w:t>date of agreement</w:t>
      </w:r>
      <w:r>
        <w:t>] between the Company and its shareholders in relation to the Company (as amended from time to time) (</w:t>
      </w:r>
      <w:r>
        <w:rPr>
          <w:b/>
        </w:rPr>
        <w:t>Shareholders Agreement</w:t>
      </w:r>
      <w:r>
        <w:t>).</w:t>
      </w:r>
    </w:p>
    <w:p w:rsidR="00025445" w:rsidRDefault="006D4E7B">
      <w:pPr>
        <w:ind w:left="677" w:hanging="677"/>
      </w:pPr>
      <w:r>
        <w:t>C.</w:t>
      </w:r>
      <w:r>
        <w:tab/>
        <w:t xml:space="preserve">The New Shareholder agrees to become a party to the Shareholders Agreement and to be bound by the terms </w:t>
      </w:r>
      <w:r>
        <w:t>and conditions of the Shareholders Agreement.</w:t>
      </w:r>
    </w:p>
    <w:p w:rsidR="00025445" w:rsidRDefault="006D4E7B">
      <w:pPr>
        <w:rPr>
          <w:b/>
        </w:rPr>
      </w:pPr>
      <w:r>
        <w:rPr>
          <w:b/>
        </w:rPr>
        <w:t>OPERATIVE PART</w:t>
      </w:r>
    </w:p>
    <w:p w:rsidR="00025445" w:rsidRDefault="006D4E7B">
      <w:pPr>
        <w:pStyle w:val="SchHeading1"/>
        <w:numPr>
          <w:ilvl w:val="0"/>
          <w:numId w:val="36"/>
        </w:numPr>
        <w:rPr>
          <w:b/>
        </w:rPr>
      </w:pPr>
      <w:r>
        <w:rPr>
          <w:b/>
        </w:rPr>
        <w:t>Definitions and Interpretation</w:t>
      </w:r>
    </w:p>
    <w:p w:rsidR="00025445" w:rsidRDefault="006D4E7B">
      <w:pPr>
        <w:pStyle w:val="bodytext2"/>
      </w:pPr>
      <w:r>
        <w:t>Unless the context otherwise requires:</w:t>
      </w:r>
    </w:p>
    <w:p w:rsidR="00025445" w:rsidRDefault="006D4E7B">
      <w:pPr>
        <w:pStyle w:val="SchHeading3"/>
      </w:pPr>
      <w:r>
        <w:t>terms defined in the Shareholders Agreement have the same meaning when used in this deed; and</w:t>
      </w:r>
    </w:p>
    <w:p w:rsidR="00025445" w:rsidRDefault="006D4E7B">
      <w:pPr>
        <w:pStyle w:val="SchHeading3"/>
      </w:pPr>
      <w:r>
        <w:t>the interpretation provisions i</w:t>
      </w:r>
      <w:r>
        <w:t>n the Shareholders Agreement apply to the interpretation of this deed.</w:t>
      </w:r>
    </w:p>
    <w:p w:rsidR="00025445" w:rsidRDefault="006D4E7B">
      <w:pPr>
        <w:pStyle w:val="SchHeading1"/>
        <w:rPr>
          <w:b/>
        </w:rPr>
      </w:pPr>
      <w:r>
        <w:rPr>
          <w:b/>
        </w:rPr>
        <w:t>New Shareholder’s Shareholding</w:t>
      </w:r>
    </w:p>
    <w:p w:rsidR="00025445" w:rsidRDefault="006D4E7B">
      <w:pPr>
        <w:pStyle w:val="bodytext2"/>
      </w:pPr>
      <w:r>
        <w:t>The New Shareholder confirms that:</w:t>
      </w:r>
    </w:p>
    <w:p w:rsidR="00025445" w:rsidRDefault="006D4E7B">
      <w:pPr>
        <w:pStyle w:val="SchHeading3"/>
      </w:pPr>
      <w:r>
        <w:t>it has been given a copy of the Shareholders Agreement; and</w:t>
      </w:r>
    </w:p>
    <w:p w:rsidR="00025445" w:rsidRDefault="006D4E7B">
      <w:pPr>
        <w:pStyle w:val="SchHeading3"/>
      </w:pPr>
      <w:r>
        <w:t>it will hold Securities in the capacity of an [</w:t>
      </w:r>
      <w:r>
        <w:rPr>
          <w:highlight w:val="yellow"/>
        </w:rPr>
        <w:t>insert</w:t>
      </w:r>
      <w:r>
        <w:t>].</w:t>
      </w:r>
    </w:p>
    <w:p w:rsidR="00025445" w:rsidRDefault="006D4E7B">
      <w:pPr>
        <w:pStyle w:val="SchHeading1"/>
        <w:rPr>
          <w:b/>
        </w:rPr>
      </w:pPr>
      <w:r>
        <w:rPr>
          <w:b/>
        </w:rPr>
        <w:t>Cov</w:t>
      </w:r>
      <w:r>
        <w:rPr>
          <w:b/>
        </w:rPr>
        <w:t>enant</w:t>
      </w:r>
    </w:p>
    <w:p w:rsidR="00025445" w:rsidRDefault="006D4E7B">
      <w:pPr>
        <w:pStyle w:val="bodytext2"/>
      </w:pPr>
      <w:r>
        <w:t>The New Shareholder covenants and agrees with the parties to the Shareholders Agreement (whether or original or by accession) that, as from the date of this deed, the New Shareholder will comply with the provisions of the Shareholders Agreement as fu</w:t>
      </w:r>
      <w:r>
        <w:t>lly and in the same manner as if it were a party to the Shareholders Agreement from the date of the Shareholders Agreement.</w:t>
      </w:r>
    </w:p>
    <w:p w:rsidR="00025445" w:rsidRDefault="006D4E7B">
      <w:pPr>
        <w:pStyle w:val="SchHeading1"/>
        <w:rPr>
          <w:b/>
        </w:rPr>
      </w:pPr>
      <w:r>
        <w:rPr>
          <w:b/>
        </w:rPr>
        <w:t>Notices</w:t>
      </w:r>
    </w:p>
    <w:p w:rsidR="00025445" w:rsidRDefault="006D4E7B">
      <w:pPr>
        <w:pStyle w:val="bodytext2"/>
      </w:pPr>
      <w:r>
        <w:t>The notice details of the New Shareholder are as follows:</w:t>
      </w:r>
    </w:p>
    <w:p w:rsidR="00025445" w:rsidRDefault="006D4E7B">
      <w:pPr>
        <w:pStyle w:val="SchHeading3"/>
      </w:pPr>
      <w:r>
        <w:t>address: [</w:t>
      </w:r>
      <w:r>
        <w:rPr>
          <w:highlight w:val="yellow"/>
        </w:rPr>
        <w:t>insert</w:t>
      </w:r>
      <w:r>
        <w:t>];</w:t>
      </w:r>
    </w:p>
    <w:p w:rsidR="00025445" w:rsidRDefault="006D4E7B">
      <w:pPr>
        <w:pStyle w:val="SchHeading3"/>
      </w:pPr>
      <w:r>
        <w:t>email: [</w:t>
      </w:r>
      <w:r>
        <w:rPr>
          <w:highlight w:val="yellow"/>
        </w:rPr>
        <w:t>insert</w:t>
      </w:r>
      <w:r>
        <w:t>]; and</w:t>
      </w:r>
    </w:p>
    <w:p w:rsidR="00025445" w:rsidRDefault="006D4E7B">
      <w:pPr>
        <w:pStyle w:val="SchHeading3"/>
      </w:pPr>
      <w:r>
        <w:t>facsimile: [</w:t>
      </w:r>
      <w:r>
        <w:rPr>
          <w:highlight w:val="yellow"/>
        </w:rPr>
        <w:t>insert</w:t>
      </w:r>
      <w:r>
        <w:t>].</w:t>
      </w:r>
    </w:p>
    <w:p w:rsidR="00025445" w:rsidRDefault="006D4E7B">
      <w:pPr>
        <w:pStyle w:val="SchHeading1"/>
        <w:rPr>
          <w:b/>
        </w:rPr>
      </w:pPr>
      <w:r>
        <w:rPr>
          <w:b/>
        </w:rPr>
        <w:lastRenderedPageBreak/>
        <w:t>Costs</w:t>
      </w:r>
    </w:p>
    <w:p w:rsidR="00025445" w:rsidRDefault="006D4E7B">
      <w:pPr>
        <w:pStyle w:val="bodytext2"/>
      </w:pPr>
      <w:r>
        <w:t>The New Shareholder is responsible for all legal and other costs and expenses of and incidental to the preparation and execution of this deed and any stamp duty payable in connection with this deed.</w:t>
      </w:r>
    </w:p>
    <w:p w:rsidR="00025445" w:rsidRDefault="006D4E7B">
      <w:pPr>
        <w:pStyle w:val="SchHeading1"/>
        <w:rPr>
          <w:b/>
        </w:rPr>
      </w:pPr>
      <w:r>
        <w:rPr>
          <w:b/>
        </w:rPr>
        <w:t>Governing law</w:t>
      </w:r>
    </w:p>
    <w:p w:rsidR="00025445" w:rsidRDefault="006D4E7B">
      <w:pPr>
        <w:pStyle w:val="bodytext2"/>
      </w:pPr>
      <w:r>
        <w:t>This deed is governed by the laws in force</w:t>
      </w:r>
      <w:r>
        <w:t xml:space="preserve"> from time to time in the </w:t>
      </w:r>
      <w:r>
        <w:rPr>
          <w:highlight w:val="yellow"/>
        </w:rPr>
        <w:t>State of New South Wales.</w:t>
      </w:r>
    </w:p>
    <w:p w:rsidR="00025445" w:rsidRDefault="00025445"/>
    <w:p w:rsidR="00025445" w:rsidRDefault="006D4E7B">
      <w:r>
        <w:rPr>
          <w:b/>
        </w:rPr>
        <w:t>EXECUTED</w:t>
      </w:r>
      <w:r>
        <w:t xml:space="preserve"> as a deed poll</w:t>
      </w:r>
    </w:p>
    <w:p w:rsidR="00025445" w:rsidRDefault="00025445"/>
    <w:p w:rsidR="00025445" w:rsidRDefault="00025445">
      <w:pPr>
        <w:rPr>
          <w:rFonts w:eastAsia="Calibri" w:cs="Times New Roman"/>
        </w:rPr>
      </w:pPr>
    </w:p>
    <w:sectPr w:rsidR="00025445">
      <w:headerReference w:type="default" r:id="rId19"/>
      <w:footerReference w:type="default" r:id="rId20"/>
      <w:footerReference w:type="first" r:id="rId21"/>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45" w:rsidRDefault="006D4E7B">
      <w:r>
        <w:separator/>
      </w:r>
    </w:p>
  </w:endnote>
  <w:endnote w:type="continuationSeparator" w:id="0">
    <w:p w:rsidR="00025445" w:rsidRDefault="006D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7B" w:rsidRDefault="006D4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6D4E7B">
    <w:pPr>
      <w:pStyle w:val="Footer"/>
    </w:pPr>
    <w:r>
      <w:fldChar w:fldCharType="begin"/>
    </w:r>
    <w:r>
      <w:instrText xml:space="preserve"> DOCPROPERTY  iManDocNo </w:instrText>
    </w:r>
    <w:r>
      <w:fldChar w:fldCharType="separate"/>
    </w:r>
    <w:r>
      <w:t>AU_Active01 900984457v1 ATKIND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7B" w:rsidRDefault="006D4E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6D4E7B">
    <w:pPr>
      <w:pStyle w:val="FooterPageNumber"/>
    </w:pPr>
    <w:r>
      <w:fldChar w:fldCharType="begin"/>
    </w:r>
    <w:r>
      <w:instrText xml:space="preserve"> PAGE   \* MERGEFORMAT </w:instrText>
    </w:r>
    <w:r>
      <w:fldChar w:fldCharType="separate"/>
    </w:r>
    <w:r>
      <w:rPr>
        <w:noProof/>
      </w:rPr>
      <w:t>27</w:t>
    </w:r>
    <w:r>
      <w:fldChar w:fldCharType="end"/>
    </w:r>
  </w:p>
  <w:p w:rsidR="00025445" w:rsidRDefault="000254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025445">
    <w:pPr>
      <w:pStyle w:val="FooterPageNumb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6D4E7B">
    <w:pPr>
      <w:pStyle w:val="FooterPageNumber"/>
    </w:pPr>
    <w:r>
      <w:fldChar w:fldCharType="begin"/>
    </w:r>
    <w:r>
      <w:instrText xml:space="preserve"> PAGE   \* MERGEFORMAT </w:instrText>
    </w:r>
    <w:r>
      <w:fldChar w:fldCharType="separate"/>
    </w:r>
    <w:r>
      <w:rPr>
        <w:noProof/>
      </w:rPr>
      <w:t>34</w:t>
    </w:r>
    <w:r>
      <w:fldChar w:fldCharType="end"/>
    </w:r>
    <w:r>
      <w:t xml:space="preserve"> </w:t>
    </w:r>
  </w:p>
  <w:p w:rsidR="00025445" w:rsidRDefault="000254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67409"/>
      <w:docPartObj>
        <w:docPartGallery w:val="Page Numbers (Bottom of Page)"/>
        <w:docPartUnique/>
      </w:docPartObj>
    </w:sdtPr>
    <w:sdtEndPr>
      <w:rPr>
        <w:rFonts w:eastAsiaTheme="minorHAnsi" w:cstheme="minorBidi"/>
        <w:sz w:val="22"/>
        <w:szCs w:val="22"/>
      </w:rPr>
    </w:sdtEndPr>
    <w:sdtContent>
      <w:p w:rsidR="006D4E7B" w:rsidRPr="006D4E7B" w:rsidRDefault="006D4E7B">
        <w:pPr>
          <w:pStyle w:val="Footer"/>
          <w:jc w:val="center"/>
          <w:rPr>
            <w:rFonts w:eastAsiaTheme="minorHAnsi" w:cstheme="minorBidi"/>
            <w:sz w:val="22"/>
            <w:szCs w:val="22"/>
          </w:rPr>
        </w:pPr>
        <w:r w:rsidRPr="006D4E7B">
          <w:rPr>
            <w:rFonts w:eastAsiaTheme="minorHAnsi" w:cstheme="minorBidi"/>
            <w:sz w:val="22"/>
            <w:szCs w:val="22"/>
          </w:rPr>
          <w:fldChar w:fldCharType="begin"/>
        </w:r>
        <w:r w:rsidRPr="006D4E7B">
          <w:rPr>
            <w:rFonts w:eastAsiaTheme="minorHAnsi" w:cstheme="minorBidi"/>
            <w:sz w:val="22"/>
            <w:szCs w:val="22"/>
          </w:rPr>
          <w:instrText xml:space="preserve"> PAGE   \* MERGEFORMAT </w:instrText>
        </w:r>
        <w:r w:rsidRPr="006D4E7B">
          <w:rPr>
            <w:rFonts w:eastAsiaTheme="minorHAnsi" w:cstheme="minorBidi"/>
            <w:sz w:val="22"/>
            <w:szCs w:val="22"/>
          </w:rPr>
          <w:fldChar w:fldCharType="separate"/>
        </w:r>
        <w:r>
          <w:rPr>
            <w:rFonts w:eastAsiaTheme="minorHAnsi" w:cstheme="minorBidi"/>
            <w:noProof/>
            <w:sz w:val="22"/>
            <w:szCs w:val="22"/>
          </w:rPr>
          <w:t>28</w:t>
        </w:r>
        <w:r w:rsidRPr="006D4E7B">
          <w:rPr>
            <w:rFonts w:eastAsiaTheme="minorHAnsi" w:cstheme="minorBidi"/>
            <w:sz w:val="22"/>
            <w:szCs w:val="22"/>
          </w:rPr>
          <w:fldChar w:fldCharType="end"/>
        </w:r>
      </w:p>
    </w:sdtContent>
  </w:sdt>
  <w:p w:rsidR="00025445" w:rsidRDefault="00025445" w:rsidP="006D4E7B">
    <w:pPr>
      <w:pStyle w:val="FooterPageNumber"/>
      <w:rPr>
        <w:noProof/>
      </w:rPr>
    </w:pPr>
    <w:bookmarkStart w:id="126" w:name="_GoBack"/>
    <w:bookmarkEnd w:id="1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45" w:rsidRDefault="006D4E7B">
      <w:r>
        <w:separator/>
      </w:r>
    </w:p>
  </w:footnote>
  <w:footnote w:type="continuationSeparator" w:id="0">
    <w:p w:rsidR="00025445" w:rsidRDefault="006D4E7B">
      <w:r>
        <w:continuationSeparator/>
      </w:r>
    </w:p>
  </w:footnote>
  <w:footnote w:id="1">
    <w:p w:rsidR="00025445" w:rsidRDefault="006D4E7B">
      <w:pPr>
        <w:pStyle w:val="FootnoteText"/>
      </w:pPr>
      <w:r>
        <w:rPr>
          <w:rStyle w:val="FootnoteReference"/>
        </w:rPr>
        <w:footnoteRef/>
      </w:r>
      <w:r>
        <w:t xml:space="preserve"> Note that the intention of the Bad Leaver language is to treat Founders as good leavers unless the Bad Leaver language applies (and as a result a very narrow definition of Bad Leaver applies). In other words, Founders will always be good leavers unless th</w:t>
      </w:r>
      <w:r>
        <w:t>ey are Bad Leavers. It is not uncommon for employee shareholders to be treated the opposite way – they are bad leavers unless they are good leavers (and the distinction is often set out in ESOP documentation).</w:t>
      </w:r>
    </w:p>
  </w:footnote>
  <w:footnote w:id="2">
    <w:p w:rsidR="00025445" w:rsidRDefault="006D4E7B">
      <w:pPr>
        <w:pStyle w:val="FootnoteText"/>
      </w:pPr>
      <w:r>
        <w:rPr>
          <w:rStyle w:val="FootnoteReference"/>
        </w:rPr>
        <w:footnoteRef/>
      </w:r>
      <w:r>
        <w:t xml:space="preserve"> Between 12 months to 3 years is considered s</w:t>
      </w:r>
      <w:r>
        <w:t>tandard.</w:t>
      </w:r>
    </w:p>
  </w:footnote>
  <w:footnote w:id="3">
    <w:p w:rsidR="00025445" w:rsidRDefault="006D4E7B">
      <w:pPr>
        <w:pStyle w:val="FootnoteText"/>
      </w:pPr>
      <w:r>
        <w:rPr>
          <w:rStyle w:val="FootnoteReference"/>
        </w:rPr>
        <w:footnoteRef/>
      </w:r>
      <w:r>
        <w:t xml:space="preserve"> Note that including resignation within the definition of a Bad Leaver may be seen as an aggressive approach against the Founders. </w:t>
      </w:r>
    </w:p>
  </w:footnote>
  <w:footnote w:id="4">
    <w:p w:rsidR="00025445" w:rsidRDefault="006D4E7B">
      <w:pPr>
        <w:pStyle w:val="FootnoteText"/>
      </w:pPr>
      <w:r>
        <w:rPr>
          <w:rStyle w:val="FootnoteReference"/>
        </w:rPr>
        <w:footnoteRef/>
      </w:r>
      <w:r>
        <w:t xml:space="preserve"> It is important to accurately define the Business, as this definition will impact, among other things, the scope</w:t>
      </w:r>
      <w:r>
        <w:t xml:space="preserve"> of the restraint.</w:t>
      </w:r>
    </w:p>
  </w:footnote>
  <w:footnote w:id="5">
    <w:p w:rsidR="00025445" w:rsidRDefault="006D4E7B">
      <w:pPr>
        <w:pStyle w:val="FootnoteText"/>
      </w:pPr>
      <w:r>
        <w:rPr>
          <w:rStyle w:val="FootnoteReference"/>
        </w:rPr>
        <w:footnoteRef/>
      </w:r>
      <w:r>
        <w:t xml:space="preserve"> This definition is used in the clause setting out the process if the company wishes to issue shares. Importantly, pre-emptive rights will not apply to any Excluded Issue. Therefore, it is important that all parties consider the circums</w:t>
      </w:r>
      <w:r>
        <w:t>tances in which the pre-emptive rights should not apply. This document assumes there will be an ESOP or similar employee incentive scheme (ie. Share Plan), and that the issue of securities under that scheme should also be an Excluded Issued.</w:t>
      </w:r>
    </w:p>
  </w:footnote>
  <w:footnote w:id="6">
    <w:p w:rsidR="00025445" w:rsidRDefault="006D4E7B">
      <w:pPr>
        <w:pStyle w:val="FootnoteText"/>
      </w:pPr>
      <w:r>
        <w:rPr>
          <w:rStyle w:val="FootnoteReference"/>
        </w:rPr>
        <w:footnoteRef/>
      </w:r>
      <w:r>
        <w:t xml:space="preserve"> Consider wha</w:t>
      </w:r>
      <w:r>
        <w:t xml:space="preserve">t threshold is appropriate or whether instead a required resolution should be a resolution passed by a simple majority of directors, with other thresholds such as requiring that the director appointed by the Investor is in the majority. </w:t>
      </w:r>
    </w:p>
  </w:footnote>
  <w:footnote w:id="7">
    <w:p w:rsidR="00025445" w:rsidRDefault="006D4E7B">
      <w:pPr>
        <w:pStyle w:val="FootnoteText"/>
      </w:pPr>
      <w:r>
        <w:rPr>
          <w:rStyle w:val="FootnoteReference"/>
        </w:rPr>
        <w:footnoteRef/>
      </w:r>
      <w:r>
        <w:t xml:space="preserve"> Some investors w</w:t>
      </w:r>
      <w:r>
        <w:t xml:space="preserve">ill require a greater proportion when exercising their pre-emptive rights on the issue of shares. For example, an investor may require 2x its pro rata rights. </w:t>
      </w:r>
    </w:p>
  </w:footnote>
  <w:footnote w:id="8">
    <w:p w:rsidR="00025445" w:rsidRDefault="006D4E7B">
      <w:pPr>
        <w:pStyle w:val="FootnoteText"/>
      </w:pPr>
      <w:r>
        <w:rPr>
          <w:rStyle w:val="FootnoteReference"/>
        </w:rPr>
        <w:footnoteRef/>
      </w:r>
      <w:r>
        <w:t xml:space="preserve"> The 75% threshold is consistent with the Corporations Act requirements for a Special Resolutio</w:t>
      </w:r>
      <w:r>
        <w:t>n of shareholders and should not be lowered. However, a higher figure may be agreed.</w:t>
      </w:r>
    </w:p>
  </w:footnote>
  <w:footnote w:id="9">
    <w:p w:rsidR="00025445" w:rsidRDefault="006D4E7B">
      <w:pPr>
        <w:pStyle w:val="FootnoteText"/>
      </w:pPr>
      <w:r>
        <w:rPr>
          <w:rStyle w:val="FootnoteReference"/>
        </w:rPr>
        <w:footnoteRef/>
      </w:r>
      <w:r>
        <w:t xml:space="preserve"> Consider if an independent Director is required where there are a smaller number of Directors (e.g. less than 4). </w:t>
      </w:r>
    </w:p>
  </w:footnote>
  <w:footnote w:id="10">
    <w:p w:rsidR="00025445" w:rsidRDefault="006D4E7B">
      <w:pPr>
        <w:pStyle w:val="FootnoteText"/>
      </w:pPr>
      <w:r>
        <w:rPr>
          <w:rStyle w:val="FootnoteReference"/>
        </w:rPr>
        <w:footnoteRef/>
      </w:r>
      <w:r>
        <w:t xml:space="preserve"> This agreement does not provide for any director fee</w:t>
      </w:r>
      <w:r>
        <w:t xml:space="preserve">s to be payable. If director fees will be payable, then this may be set out here. </w:t>
      </w:r>
    </w:p>
  </w:footnote>
  <w:footnote w:id="11">
    <w:p w:rsidR="00025445" w:rsidRDefault="006D4E7B">
      <w:pPr>
        <w:pStyle w:val="FootnoteText"/>
      </w:pPr>
      <w:r>
        <w:rPr>
          <w:rStyle w:val="FootnoteReference"/>
        </w:rPr>
        <w:footnoteRef/>
      </w:r>
      <w:r>
        <w:t xml:space="preserve"> A threshold for director appointment is common for Founder shareholders. Investors are unlikely to  want Founders to be able to sell their shares and still retain the righ</w:t>
      </w:r>
      <w:r>
        <w:t xml:space="preserve">t to appoint a director. </w:t>
      </w:r>
    </w:p>
  </w:footnote>
  <w:footnote w:id="12">
    <w:p w:rsidR="00025445" w:rsidRDefault="006D4E7B">
      <w:pPr>
        <w:pStyle w:val="FootnoteText"/>
      </w:pPr>
      <w:r>
        <w:rPr>
          <w:rStyle w:val="FootnoteReference"/>
        </w:rPr>
        <w:footnoteRef/>
      </w:r>
      <w:r>
        <w:t xml:space="preserve"> In certain circumstances, certain preference shareholders will require a specific right to appoint a director (rather than it being necessary that they hold a majority of the preference shares). </w:t>
      </w:r>
    </w:p>
  </w:footnote>
  <w:footnote w:id="13">
    <w:p w:rsidR="00025445" w:rsidRDefault="006D4E7B">
      <w:pPr>
        <w:pStyle w:val="FootnoteText"/>
      </w:pPr>
      <w:r>
        <w:rPr>
          <w:rStyle w:val="FootnoteReference"/>
        </w:rPr>
        <w:footnoteRef/>
      </w:r>
      <w:r>
        <w:t xml:space="preserve"> Certain investors will require</w:t>
      </w:r>
      <w:r>
        <w:t xml:space="preserve"> the Company to take out D&amp;O insurance before appointing a director and/or may require that the Company enter into a deed of access, indemnity and insurance with their nominee director. </w:t>
      </w:r>
    </w:p>
  </w:footnote>
  <w:footnote w:id="14">
    <w:p w:rsidR="00025445" w:rsidRDefault="006D4E7B">
      <w:pPr>
        <w:pStyle w:val="FootnoteText"/>
      </w:pPr>
      <w:r>
        <w:rPr>
          <w:rStyle w:val="FootnoteReference"/>
        </w:rPr>
        <w:footnoteRef/>
      </w:r>
      <w:r>
        <w:t xml:space="preserve"> Parties may wish to allow a particular shareholder to retain its bo</w:t>
      </w:r>
      <w:r>
        <w:t>ard seat despite that shareholder not holding the requisite number of shares.</w:t>
      </w:r>
    </w:p>
  </w:footnote>
  <w:footnote w:id="15">
    <w:p w:rsidR="00025445" w:rsidRDefault="006D4E7B">
      <w:pPr>
        <w:pStyle w:val="FootnoteText"/>
      </w:pPr>
      <w:r>
        <w:rPr>
          <w:rStyle w:val="FootnoteReference"/>
        </w:rPr>
        <w:footnoteRef/>
      </w:r>
      <w:r>
        <w:t xml:space="preserve"> Certain investors may require the right to appoint an observer to the board. </w:t>
      </w:r>
    </w:p>
  </w:footnote>
  <w:footnote w:id="16">
    <w:p w:rsidR="00025445" w:rsidRDefault="006D4E7B">
      <w:pPr>
        <w:pStyle w:val="FootnoteText"/>
      </w:pPr>
      <w:r>
        <w:rPr>
          <w:rStyle w:val="FootnoteReference"/>
        </w:rPr>
        <w:footnoteRef/>
      </w:r>
      <w:r>
        <w:t xml:space="preserve"> This agreement is drafted on the basis that almost all key decisions are made by the board, rath</w:t>
      </w:r>
      <w:r>
        <w:t xml:space="preserve">er than by shareholders. </w:t>
      </w:r>
    </w:p>
  </w:footnote>
  <w:footnote w:id="17">
    <w:p w:rsidR="00025445" w:rsidRDefault="006D4E7B">
      <w:pPr>
        <w:pStyle w:val="FootnoteText"/>
      </w:pPr>
      <w:r>
        <w:rPr>
          <w:rStyle w:val="FootnoteReference"/>
        </w:rPr>
        <w:footnoteRef/>
      </w:r>
      <w:r>
        <w:t xml:space="preserve"> This agreement is drafted on the basis that the only decisions that require a Special Resolution are ones for which a special resolution is required under the Corporations Act. Some investors may require specific 'veto' rights o</w:t>
      </w:r>
      <w:r>
        <w:t>ver certain matters.</w:t>
      </w:r>
    </w:p>
  </w:footnote>
  <w:footnote w:id="18">
    <w:p w:rsidR="00025445" w:rsidRDefault="006D4E7B">
      <w:pPr>
        <w:pStyle w:val="FootnoteText"/>
      </w:pPr>
      <w:r>
        <w:rPr>
          <w:rStyle w:val="FootnoteReference"/>
        </w:rPr>
        <w:footnoteRef/>
      </w:r>
      <w:r>
        <w:t xml:space="preserve"> Consider whether there should be any limitations on founders selling their shares for a certain period of time (ie a Founder lock-up). This gives security to the investors that the founders will remain engaged in the business for a p</w:t>
      </w:r>
      <w:r>
        <w:t xml:space="preserve">eriod of time. </w:t>
      </w:r>
    </w:p>
  </w:footnote>
  <w:footnote w:id="19">
    <w:p w:rsidR="00025445" w:rsidRDefault="006D4E7B">
      <w:pPr>
        <w:pStyle w:val="FootnoteText"/>
      </w:pPr>
      <w:r>
        <w:rPr>
          <w:rStyle w:val="FootnoteReference"/>
        </w:rPr>
        <w:footnoteRef/>
      </w:r>
      <w:r>
        <w:t xml:space="preserve"> The purpose of this clause is to avoid a situation where a security interest is granted over shares, the grantor defaults and the financier becomes entitled to own the shares. </w:t>
      </w:r>
    </w:p>
  </w:footnote>
  <w:footnote w:id="20">
    <w:p w:rsidR="00025445" w:rsidRDefault="006D4E7B">
      <w:pPr>
        <w:pStyle w:val="FootnoteText"/>
      </w:pPr>
      <w:r>
        <w:rPr>
          <w:rStyle w:val="FootnoteReference"/>
        </w:rPr>
        <w:footnoteRef/>
      </w:r>
      <w:r>
        <w:t xml:space="preserve"> This agreement is drafted on the basis that all shareholders have pre-emptive rights. However, it is quite common for those rights to be restricted to preference shareholders. </w:t>
      </w:r>
    </w:p>
  </w:footnote>
  <w:footnote w:id="21">
    <w:p w:rsidR="00025445" w:rsidRDefault="006D4E7B">
      <w:pPr>
        <w:pStyle w:val="FootnoteText"/>
      </w:pPr>
      <w:r>
        <w:rPr>
          <w:rStyle w:val="FootnoteReference"/>
        </w:rPr>
        <w:footnoteRef/>
      </w:r>
      <w:r>
        <w:t xml:space="preserve"> Consider whether a shareholder should be able to nominate an Affiliate to ex</w:t>
      </w:r>
      <w:r>
        <w:t xml:space="preserve">ercise its pre-emptive rights. This may be particularly important for venture capital funds if the one fund has ended and a new fund has been established. </w:t>
      </w:r>
    </w:p>
  </w:footnote>
  <w:footnote w:id="22">
    <w:p w:rsidR="00025445" w:rsidRDefault="006D4E7B">
      <w:pPr>
        <w:pStyle w:val="FootnoteText"/>
      </w:pPr>
      <w:r>
        <w:rPr>
          <w:rStyle w:val="FootnoteReference"/>
        </w:rPr>
        <w:footnoteRef/>
      </w:r>
      <w:r>
        <w:t xml:space="preserve"> The purpose of this clause is for the shareholders to agree that an employee incentive plan will b</w:t>
      </w:r>
      <w:r>
        <w:t xml:space="preserve">e established and to put limits on the number of securities that may be issued under that plan. </w:t>
      </w:r>
    </w:p>
  </w:footnote>
  <w:footnote w:id="23">
    <w:p w:rsidR="00025445" w:rsidRDefault="006D4E7B">
      <w:pPr>
        <w:pStyle w:val="FootnoteText"/>
      </w:pPr>
      <w:r>
        <w:rPr>
          <w:rStyle w:val="FootnoteReference"/>
        </w:rPr>
        <w:footnoteRef/>
      </w:r>
      <w:r>
        <w:t xml:space="preserve"> 10% is typically allocated for the ESOP pool. </w:t>
      </w:r>
    </w:p>
  </w:footnote>
  <w:footnote w:id="24">
    <w:p w:rsidR="00025445" w:rsidRDefault="006D4E7B">
      <w:pPr>
        <w:pStyle w:val="FootnoteText"/>
      </w:pPr>
      <w:r>
        <w:rPr>
          <w:rStyle w:val="FootnoteReference"/>
        </w:rPr>
        <w:footnoteRef/>
      </w:r>
      <w:r>
        <w:t xml:space="preserve"> Consider whether a Required Resolution should be required. </w:t>
      </w:r>
    </w:p>
  </w:footnote>
  <w:footnote w:id="25">
    <w:p w:rsidR="00025445" w:rsidRDefault="006D4E7B">
      <w:pPr>
        <w:pStyle w:val="FootnoteText"/>
      </w:pPr>
      <w:r>
        <w:rPr>
          <w:rStyle w:val="FootnoteReference"/>
        </w:rPr>
        <w:footnoteRef/>
      </w:r>
      <w:r>
        <w:t xml:space="preserve"> This agreement is drafted on the basis that al</w:t>
      </w:r>
      <w:r>
        <w:t>l shareholders have pre-emptive rights. However, it is quite common for those rights to be restricted to preference shareholders.</w:t>
      </w:r>
    </w:p>
  </w:footnote>
  <w:footnote w:id="26">
    <w:p w:rsidR="00025445" w:rsidRDefault="006D4E7B">
      <w:pPr>
        <w:pStyle w:val="FootnoteText"/>
      </w:pPr>
      <w:r>
        <w:rPr>
          <w:rStyle w:val="FootnoteReference"/>
        </w:rPr>
        <w:footnoteRef/>
      </w:r>
      <w:r>
        <w:t xml:space="preserve"> A tag along right gives the right to minority shareholders to 'tag along' in a sale by a majority shareholder to a third par</w:t>
      </w:r>
      <w:r>
        <w:t xml:space="preserve">ty. The minority seller would sell on the same terms and conditions as the majority seller. This clause gives some protection to minority shareholders. </w:t>
      </w:r>
    </w:p>
  </w:footnote>
  <w:footnote w:id="27">
    <w:p w:rsidR="00025445" w:rsidRDefault="006D4E7B">
      <w:pPr>
        <w:pStyle w:val="FootnoteText"/>
      </w:pPr>
      <w:r>
        <w:rPr>
          <w:rStyle w:val="FootnoteReference"/>
        </w:rPr>
        <w:footnoteRef/>
      </w:r>
      <w:r>
        <w:t xml:space="preserve"> A drag along right gives the right to majority shareholders to 'drag along' (ie force) a minority sha</w:t>
      </w:r>
      <w:r>
        <w:t xml:space="preserve">reholder in a sale of all of the shares in the company. </w:t>
      </w:r>
    </w:p>
  </w:footnote>
  <w:footnote w:id="28">
    <w:p w:rsidR="00025445" w:rsidRDefault="006D4E7B">
      <w:pPr>
        <w:pStyle w:val="FootnoteText"/>
      </w:pPr>
      <w:r>
        <w:rPr>
          <w:rStyle w:val="FootnoteReference"/>
        </w:rPr>
        <w:footnoteRef/>
      </w:r>
      <w:r>
        <w:t xml:space="preserve"> Consider whether this limitation is appropriate or whether a different limitation should apply (eg that Shareholders holding Seed Preference Shares may only be dragged if they will receive cash con</w:t>
      </w:r>
      <w:r>
        <w:t>sideration of an aggregate value equal to, for example, 3x the amount paid by that shareholder for their shares or that the drag may only be exercised on Shareholders holding Seed Preference Shares more than 3 years after their first acquired their shares)</w:t>
      </w:r>
      <w:r>
        <w:t>.</w:t>
      </w:r>
    </w:p>
  </w:footnote>
  <w:footnote w:id="29">
    <w:p w:rsidR="00025445" w:rsidRDefault="006D4E7B">
      <w:pPr>
        <w:pStyle w:val="FootnoteText"/>
      </w:pPr>
      <w:r>
        <w:rPr>
          <w:rStyle w:val="FootnoteReference"/>
        </w:rPr>
        <w:footnoteRef/>
      </w:r>
      <w:r>
        <w:t xml:space="preserve"> Note that the pre-emptive rights process will not apply in the event that the drag along provisions are triggered. </w:t>
      </w:r>
    </w:p>
  </w:footnote>
  <w:footnote w:id="30">
    <w:p w:rsidR="00025445" w:rsidRDefault="006D4E7B">
      <w:pPr>
        <w:pStyle w:val="FootnoteText"/>
      </w:pPr>
      <w:r>
        <w:rPr>
          <w:rStyle w:val="FootnoteReference"/>
        </w:rPr>
        <w:footnoteRef/>
      </w:r>
      <w:r>
        <w:t xml:space="preserve"> It is not uncommon to include 'Defaulting Shareholder' clauses. These clauses give the company the right to buy back shares held by a </w:t>
      </w:r>
      <w:r>
        <w:t>'defaulting shareholder', usually at a discount to their fair market value. A defaulting shareholder may be (1) a shareholder who is no longer permitted to hold shares under the law, (2) a shareholder who sells their shares in breach of this agreement, (3)</w:t>
      </w:r>
      <w:r>
        <w:t xml:space="preserve"> a shareholder who has a change of control which has not been approved by the board or (4) a shareholder who is bankrupt or insolvent. These clauses are all designed to ensure the identity of the shareholders remains the same and that no new party becomes </w:t>
      </w:r>
      <w:r>
        <w:t xml:space="preserve">entitled to hold the shares. A defaulting shareholder may also be a shareholder that breaches key sections of this agreement (eg confidentiality and restraint provisions). In that case, a larger discount to fair market value is likely to be appropriate in </w:t>
      </w:r>
      <w:r>
        <w:t>any buyback.</w:t>
      </w:r>
    </w:p>
  </w:footnote>
  <w:footnote w:id="31">
    <w:p w:rsidR="00025445" w:rsidRDefault="006D4E7B">
      <w:pPr>
        <w:pStyle w:val="FootnoteText"/>
      </w:pPr>
      <w:r>
        <w:rPr>
          <w:rStyle w:val="FootnoteReference"/>
        </w:rPr>
        <w:footnoteRef/>
      </w:r>
      <w:r>
        <w:t xml:space="preserve"> Consider inserting a Power of Attorney, so that the buyback rights in this clause may be exercised under power of attorney if the Founder refuses to do so. </w:t>
      </w:r>
    </w:p>
  </w:footnote>
  <w:footnote w:id="32">
    <w:p w:rsidR="00025445" w:rsidRDefault="006D4E7B">
      <w:pPr>
        <w:pStyle w:val="FootnoteText"/>
      </w:pPr>
      <w:r>
        <w:rPr>
          <w:rStyle w:val="FootnoteReference"/>
        </w:rPr>
        <w:footnoteRef/>
      </w:r>
      <w:r>
        <w:t xml:space="preserve"> This clause is included as a mechanism to ensure that Founders remain actively eng</w:t>
      </w:r>
      <w:r>
        <w:t>aged in the business, otherwise their shares are bought back for a nominal price. This agreement includes a relatively standard vesting schedule, but this may be altered as deemed fit. Although this agreement contemplates that some percentage of the Founde</w:t>
      </w:r>
      <w:r>
        <w:t>r's shares may be vested, all shares may instead be unvested at the commencement of this agreement.</w:t>
      </w:r>
    </w:p>
  </w:footnote>
  <w:footnote w:id="33">
    <w:p w:rsidR="00025445" w:rsidRDefault="00025445">
      <w:pPr>
        <w:pStyle w:val="FootnoteText"/>
      </w:pPr>
    </w:p>
  </w:footnote>
  <w:footnote w:id="34">
    <w:p w:rsidR="00025445" w:rsidRDefault="006D4E7B">
      <w:pPr>
        <w:pStyle w:val="FootnoteText"/>
      </w:pPr>
      <w:r>
        <w:rPr>
          <w:rStyle w:val="FootnoteReference"/>
        </w:rPr>
        <w:footnoteRef/>
      </w:r>
      <w:r>
        <w:t xml:space="preserve"> The payment of consideration for the grant of the option by the Founder Option in this clause 11.2 is intended to minimise the risk that a material capit</w:t>
      </w:r>
      <w:r>
        <w:t>al gain arises under CGT event D2 arises for the Founder Entity</w:t>
      </w:r>
    </w:p>
  </w:footnote>
  <w:footnote w:id="35">
    <w:p w:rsidR="00025445" w:rsidRDefault="006D4E7B">
      <w:pPr>
        <w:pStyle w:val="FootnoteText"/>
      </w:pPr>
      <w:r>
        <w:rPr>
          <w:rStyle w:val="FootnoteReference"/>
        </w:rPr>
        <w:footnoteRef/>
      </w:r>
      <w:r>
        <w:t xml:space="preserve"> There are complex tax issues that can arise for the Founder Entity and the Company if the shares are bought back. Appropriate tax advice should be obtained as to whether it is preferable to buy-back the shares or transfer them to a nominated entity.</w:t>
      </w:r>
    </w:p>
  </w:footnote>
  <w:footnote w:id="36">
    <w:p w:rsidR="00025445" w:rsidRDefault="006D4E7B">
      <w:pPr>
        <w:pStyle w:val="FootnoteText"/>
      </w:pPr>
      <w:r>
        <w:rPr>
          <w:rStyle w:val="FootnoteReference"/>
        </w:rPr>
        <w:footnoteRef/>
      </w:r>
      <w:r>
        <w:t xml:space="preserve"> Thi</w:t>
      </w:r>
      <w:r>
        <w:t>s agreement only contemplates a right to buy back shares from a Founder if they are a Bad Leaver. It does not give the company the right to buy back shares from a Founder if they cease to be employed but are not a Bad Leaver. However, it is quite common fo</w:t>
      </w:r>
      <w:r>
        <w:t>r Investors to require that the Company be given that broader right. This is intended to prevent the Founder from remaining a shareholder in a company in which they are no longer engaged (it also allows the Company to 'recirculate' the equity to new hires)</w:t>
      </w:r>
      <w:r>
        <w:t xml:space="preserve"> – the justification is that a Founder holds his or her shares because they are actively engaged in the business. This is different to an Investor, who holds their shares because they have made a financial investment into the business. The buy-back right o</w:t>
      </w:r>
      <w:r>
        <w:t xml:space="preserve">ften falls away as the business grows. </w:t>
      </w:r>
    </w:p>
  </w:footnote>
  <w:footnote w:id="37">
    <w:p w:rsidR="00025445" w:rsidRDefault="006D4E7B">
      <w:pPr>
        <w:pStyle w:val="FootnoteText"/>
      </w:pPr>
      <w:r>
        <w:rPr>
          <w:rStyle w:val="FootnoteReference"/>
        </w:rPr>
        <w:footnoteRef/>
      </w:r>
      <w:r>
        <w:t xml:space="preserve"> Consider inserting a Power of Attorney, so that the buyback rights in this clause may be exercised under power of attorney if the Founder refuses to do so. </w:t>
      </w:r>
    </w:p>
  </w:footnote>
  <w:footnote w:id="38">
    <w:p w:rsidR="00025445" w:rsidRDefault="006D4E7B">
      <w:pPr>
        <w:pStyle w:val="FootnoteText"/>
      </w:pPr>
      <w:r>
        <w:rPr>
          <w:rStyle w:val="FootnoteReference"/>
        </w:rPr>
        <w:footnoteRef/>
      </w:r>
      <w:r>
        <w:t xml:space="preserve"> The price for Unvested Shares in the context of a Bad L</w:t>
      </w:r>
      <w:r>
        <w:t>eaver situation (or any termination of employment or engagement) will be $1 (as set out in clause 11.2), whereas the buyback price for vested shares (called "Default Shares") in a Bad Leaver situation will be a specified percentage of the Fair Market Value</w:t>
      </w:r>
      <w:r>
        <w:t xml:space="preserve"> of those shares. </w:t>
      </w:r>
    </w:p>
  </w:footnote>
  <w:footnote w:id="39">
    <w:p w:rsidR="00025445" w:rsidRDefault="006D4E7B">
      <w:pPr>
        <w:pStyle w:val="FootnoteText"/>
      </w:pPr>
      <w:r>
        <w:rPr>
          <w:rStyle w:val="FootnoteReference"/>
        </w:rPr>
        <w:footnoteRef/>
      </w:r>
      <w:r>
        <w:t xml:space="preserve"> Note that this clause and the obligations in it are drafted on the basis that they do not apply to the Investor. That is, there is no restriction on the Investor competing with the business or soliciting employees or clients. However, </w:t>
      </w:r>
      <w:r>
        <w:t xml:space="preserve">certain circumstances or elements may dictate that Investors should be bound by these restraints in which case they may be amended, although  investors may want a carve-out which will still allow them to continue to invest in other competitor entities. </w:t>
      </w:r>
    </w:p>
  </w:footnote>
  <w:footnote w:id="40">
    <w:p w:rsidR="00025445" w:rsidRDefault="006D4E7B">
      <w:pPr>
        <w:pStyle w:val="FootnoteText"/>
      </w:pPr>
      <w:r>
        <w:rPr>
          <w:rStyle w:val="FootnoteReference"/>
        </w:rPr>
        <w:footnoteRef/>
      </w:r>
      <w:r>
        <w:t xml:space="preserve"> </w:t>
      </w:r>
      <w:r>
        <w:t xml:space="preserve">These time periods can be tailored as appropriate. </w:t>
      </w:r>
    </w:p>
  </w:footnote>
  <w:footnote w:id="41">
    <w:p w:rsidR="00025445" w:rsidRDefault="006D4E7B">
      <w:pPr>
        <w:pStyle w:val="FootnoteText"/>
      </w:pPr>
      <w:r>
        <w:rPr>
          <w:rStyle w:val="FootnoteReference"/>
        </w:rPr>
        <w:footnoteRef/>
      </w:r>
      <w:r>
        <w:t xml:space="preserve"> These geographical areas can be tailored as appropriate.</w:t>
      </w:r>
    </w:p>
  </w:footnote>
  <w:footnote w:id="42">
    <w:p w:rsidR="00025445" w:rsidRDefault="006D4E7B">
      <w:pPr>
        <w:pStyle w:val="FootnoteText"/>
      </w:pPr>
      <w:r>
        <w:rPr>
          <w:rStyle w:val="FootnoteReference"/>
        </w:rPr>
        <w:footnoteRef/>
      </w:r>
      <w:r>
        <w:t xml:space="preserve"> If parties are overseas entities, arbitration of disputes may be more effective than court processes in Australia. </w:t>
      </w:r>
    </w:p>
  </w:footnote>
  <w:footnote w:id="43">
    <w:p w:rsidR="00025445" w:rsidRDefault="006D4E7B">
      <w:pPr>
        <w:pStyle w:val="FootnoteText"/>
      </w:pPr>
      <w:r>
        <w:rPr>
          <w:rStyle w:val="FootnoteReference"/>
        </w:rPr>
        <w:footnoteRef/>
      </w:r>
      <w:r>
        <w:t xml:space="preserve"> Consider whether mediatio</w:t>
      </w:r>
      <w:r>
        <w:t xml:space="preserve">n is appropriate or whether another dispute resolution mechanism may be preferable (ie. arbitration), in which case this clause will need to be amended as appropriate. </w:t>
      </w:r>
    </w:p>
  </w:footnote>
  <w:footnote w:id="44">
    <w:p w:rsidR="00025445" w:rsidRDefault="006D4E7B">
      <w:pPr>
        <w:pStyle w:val="FootnoteText"/>
      </w:pPr>
      <w:r>
        <w:rPr>
          <w:rStyle w:val="FootnoteReference"/>
        </w:rPr>
        <w:footnoteRef/>
      </w:r>
      <w:r>
        <w:t xml:space="preserve"> These matters should be tailored as appropriate for the business. Each of these matte</w:t>
      </w:r>
      <w:r>
        <w:t xml:space="preserve">rs needs a Required Resolution, so the parties need to consider whether this will be overly burdensome for the company and prevent it from operating in the ordinary course. </w:t>
      </w:r>
    </w:p>
  </w:footnote>
  <w:footnote w:id="45">
    <w:p w:rsidR="00025445" w:rsidRDefault="006D4E7B">
      <w:pPr>
        <w:pStyle w:val="FootnoteText"/>
      </w:pPr>
      <w:r>
        <w:rPr>
          <w:rStyle w:val="FootnoteReference"/>
        </w:rPr>
        <w:footnoteRef/>
      </w:r>
      <w:r>
        <w:t xml:space="preserve"> Use this execution block where the Company has two or more directors. </w:t>
      </w:r>
    </w:p>
  </w:footnote>
  <w:footnote w:id="46">
    <w:p w:rsidR="00025445" w:rsidRDefault="006D4E7B">
      <w:pPr>
        <w:pStyle w:val="FootnoteText"/>
      </w:pPr>
      <w:r>
        <w:rPr>
          <w:rStyle w:val="FootnoteReference"/>
        </w:rPr>
        <w:footnoteRef/>
      </w:r>
      <w:r>
        <w:t xml:space="preserve"> Use thi</w:t>
      </w:r>
      <w:r>
        <w:t xml:space="preserve">s execution block where the Company has a sole director and sole secretary. </w:t>
      </w:r>
    </w:p>
  </w:footnote>
  <w:footnote w:id="47">
    <w:p w:rsidR="00025445" w:rsidRDefault="006D4E7B">
      <w:pPr>
        <w:pStyle w:val="FootnoteText"/>
      </w:pPr>
      <w:r>
        <w:rPr>
          <w:rStyle w:val="FootnoteReference"/>
        </w:rPr>
        <w:footnoteRef/>
      </w:r>
      <w:r>
        <w:t xml:space="preserve"> Use this execution block where a shareholder is an individual. </w:t>
      </w:r>
    </w:p>
  </w:footnote>
  <w:footnote w:id="48">
    <w:p w:rsidR="00025445" w:rsidRDefault="006D4E7B">
      <w:pPr>
        <w:pStyle w:val="FootnoteText"/>
      </w:pPr>
      <w:r>
        <w:rPr>
          <w:rStyle w:val="FootnoteReference"/>
        </w:rPr>
        <w:footnoteRef/>
      </w:r>
      <w:r>
        <w:t xml:space="preserve"> Use this execution block where a shareholder is a company and has two or more directors.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7B" w:rsidRDefault="006D4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6D4E7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7B" w:rsidRDefault="006D4E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6D4E7B">
    <w:pPr>
      <w:tabs>
        <w:tab w:val="center" w:pos="4820"/>
      </w:tabs>
      <w:spacing w:after="0"/>
    </w:pPr>
    <w:r>
      <w:tab/>
    </w:r>
  </w:p>
  <w:p w:rsidR="006D4E7B" w:rsidRDefault="006D4E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Default="0002544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45" w:rsidRPr="006D4E7B" w:rsidRDefault="00025445" w:rsidP="006D4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nsid w:val="38E600D0"/>
    <w:multiLevelType w:val="multilevel"/>
    <w:tmpl w:val="D268748A"/>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6">
    <w:nsid w:val="50772D79"/>
    <w:multiLevelType w:val="multilevel"/>
    <w:tmpl w:val="0F489FB8"/>
    <w:name w:val="Sch_1"/>
    <w:numStyleLink w:val="MListSchHeadingNumbering"/>
  </w:abstractNum>
  <w:abstractNum w:abstractNumId="17">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1">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2">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B6B1533"/>
    <w:multiLevelType w:val="singleLevel"/>
    <w:tmpl w:val="942032FC"/>
    <w:lvl w:ilvl="0">
      <w:start w:val="1"/>
      <w:numFmt w:val="decimal"/>
      <w:lvlText w:val="%1."/>
      <w:lvlJc w:val="left"/>
      <w:pPr>
        <w:tabs>
          <w:tab w:val="num" w:pos="680"/>
        </w:tabs>
        <w:ind w:left="680" w:hanging="680"/>
      </w:pPr>
    </w:lvl>
  </w:abstractNum>
  <w:num w:numId="1">
    <w:abstractNumId w:val="12"/>
  </w:num>
  <w:num w:numId="2">
    <w:abstractNumId w:val="19"/>
  </w:num>
  <w:num w:numId="3">
    <w:abstractNumId w:val="10"/>
  </w:num>
  <w:num w:numId="4">
    <w:abstractNumId w:val="15"/>
  </w:num>
  <w:num w:numId="5">
    <w:abstractNumId w:val="17"/>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1"/>
  </w:num>
  <w:num w:numId="20">
    <w:abstractNumId w:val="20"/>
  </w:num>
  <w:num w:numId="21">
    <w:abstractNumId w:val="14"/>
  </w:num>
  <w:num w:numId="22">
    <w:abstractNumId w:val="20"/>
  </w:num>
  <w:num w:numId="23">
    <w:abstractNumId w:val="16"/>
  </w:num>
  <w:num w:numId="24">
    <w:abstractNumId w:val="13"/>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677"/>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45"/>
    <w:rsid w:val="00025445"/>
    <w:rsid w:val="006D4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59"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59"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06F6-B4AC-4E35-B7BB-B5EEB39C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8294</Words>
  <Characters>47281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Series Seed Round - Template Shareholders Agreement - AVCAL project</vt:lpstr>
    </vt:vector>
  </TitlesOfParts>
  <Company>K&amp;L Gates LLP</Company>
  <LinksUpToDate>false</LinksUpToDate>
  <CharactersWithSpaces>55465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Seed Round - Template Shareholders Agreement - AVCAL project</dc:title>
  <dc:creator>K&amp;L Gates</dc:creator>
  <cp:lastModifiedBy>K&amp;L Gates</cp:lastModifiedBy>
  <cp:revision>13</cp:revision>
  <cp:lastPrinted>2017-07-11T00:48:00Z</cp:lastPrinted>
  <dcterms:created xsi:type="dcterms:W3CDTF">2017-06-14T04:19:00Z</dcterms:created>
  <dcterms:modified xsi:type="dcterms:W3CDTF">2017-07-11T01:22:00Z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900984457v1 ATKIND</vt:lpwstr>
  </property>
  <property fmtid="{D5CDD505-2E9C-101B-9397-08002B2CF9AE}" pid="3" name="DMS Library Name">
    <vt:lpwstr>Greenwoods</vt:lpwstr>
  </property>
  <property fmtid="{D5CDD505-2E9C-101B-9397-08002B2CF9AE}" pid="4" name="DMS Item ID">
    <vt:lpwstr>510823693</vt:lpwstr>
  </property>
  <property fmtid="{D5CDD505-2E9C-101B-9397-08002B2CF9AE}" pid="5" name="DMS Version">
    <vt:lpwstr>2</vt:lpwstr>
  </property>
  <property fmtid="{D5CDD505-2E9C-101B-9397-08002B2CF9AE}" pid="6" name="Item Previous Reference">
    <vt:lpwstr/>
  </property>
</Properties>
</file>